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C189FF" w14:textId="77777777" w:rsidR="00F00B1E" w:rsidRDefault="004D2C0E" w:rsidP="004F59F9">
      <w:pPr>
        <w:pStyle w:val="NoNumTitle-Clause"/>
        <w:ind w:left="0" w:firstLine="720"/>
        <w:jc w:val="left"/>
      </w:pPr>
      <w:bookmarkStart w:id="0" w:name="a271338"/>
      <w:r>
        <w:t>These terms may have changed since you last reviewed them</w:t>
      </w:r>
      <w:bookmarkEnd w:id="0"/>
    </w:p>
    <w:p w14:paraId="50D7C60A" w14:textId="3B51DA5A" w:rsidR="00F00B1E" w:rsidRDefault="004D2C0E" w:rsidP="00AE1FA3">
      <w:pPr>
        <w:pStyle w:val="NoNumUntitledsubclause1"/>
      </w:pPr>
      <w:bookmarkStart w:id="1" w:name="a452492"/>
      <w:r>
        <w:t>For a list of changes and when they were made, see</w:t>
      </w:r>
      <w:bookmarkEnd w:id="1"/>
    </w:p>
    <w:p w14:paraId="00D555A3" w14:textId="77777777" w:rsidR="00F00B1E" w:rsidRDefault="004D2C0E" w:rsidP="00AE1FA3">
      <w:pPr>
        <w:pStyle w:val="NoNumTitle-Clause"/>
      </w:pPr>
      <w:bookmarkStart w:id="2" w:name="a521861"/>
      <w:r>
        <w:t>Where to find information about us and our products</w:t>
      </w:r>
      <w:bookmarkEnd w:id="2"/>
    </w:p>
    <w:p w14:paraId="13430630" w14:textId="337A30D6" w:rsidR="00F00B1E" w:rsidRDefault="004D2C0E" w:rsidP="00AE1FA3">
      <w:pPr>
        <w:pStyle w:val="NoNumUntitledsubclause1"/>
      </w:pPr>
      <w:bookmarkStart w:id="3" w:name="a882761"/>
      <w:r>
        <w:t xml:space="preserve">You can find everything you need to know about us, </w:t>
      </w:r>
      <w:r w:rsidR="00C437BC">
        <w:t>Connect Trading</w:t>
      </w:r>
      <w:r>
        <w:t>, and our products on our website</w:t>
      </w:r>
      <w:r w:rsidR="004F59F9">
        <w:t xml:space="preserve"> </w:t>
      </w:r>
      <w:r>
        <w:t>before you order. We also confirm the key information to you in writing before</w:t>
      </w:r>
      <w:r w:rsidR="004F59F9">
        <w:t xml:space="preserve"> </w:t>
      </w:r>
      <w:r>
        <w:t>you order, either by email, in your online account or on paper.</w:t>
      </w:r>
      <w:bookmarkEnd w:id="3"/>
    </w:p>
    <w:p w14:paraId="0D512D38" w14:textId="77777777" w:rsidR="00F00B1E" w:rsidRDefault="004D2C0E" w:rsidP="00AE1FA3">
      <w:pPr>
        <w:pStyle w:val="NoNumTitle-Clause"/>
      </w:pPr>
      <w:bookmarkStart w:id="4" w:name="a720455"/>
      <w:r>
        <w:t xml:space="preserve">We don't give business customers all the same rights as consumers </w:t>
      </w:r>
      <w:bookmarkEnd w:id="4"/>
    </w:p>
    <w:p w14:paraId="7E406AC9" w14:textId="4D103DA1" w:rsidR="00F00B1E" w:rsidRDefault="004D2C0E" w:rsidP="00AE1FA3">
      <w:pPr>
        <w:pStyle w:val="NoNumUntitledsubclause1"/>
      </w:pPr>
      <w:bookmarkStart w:id="5" w:name="a503700"/>
      <w:r>
        <w:t>For example, business customers can't cancel their orders</w:t>
      </w:r>
      <w:r w:rsidR="004F59F9">
        <w:t xml:space="preserve">. </w:t>
      </w:r>
      <w:r>
        <w:t>Where a term applies just to businesses or just to consumers, this is clearly stated. You are a business customer if you are buying products wholly or mainly for use in connection with your trade, business, craft or profession, even if you are an individual.</w:t>
      </w:r>
      <w:bookmarkEnd w:id="5"/>
    </w:p>
    <w:p w14:paraId="084D9460" w14:textId="77777777" w:rsidR="00F00B1E" w:rsidRDefault="004D2C0E" w:rsidP="00AE1FA3">
      <w:pPr>
        <w:pStyle w:val="NoNumTitle-Clause"/>
      </w:pPr>
      <w:bookmarkStart w:id="6" w:name="a351218"/>
      <w:r>
        <w:t>When you buy from us you are agreeing that:</w:t>
      </w:r>
      <w:bookmarkEnd w:id="6"/>
    </w:p>
    <w:p w14:paraId="2341DF99" w14:textId="77777777" w:rsidR="00F00B1E" w:rsidRDefault="004D2C0E" w:rsidP="00AE1FA3">
      <w:pPr>
        <w:pStyle w:val="ClauseBullet1"/>
      </w:pPr>
      <w:hyperlink w:anchor="a119452" w:history="1">
        <w:r>
          <w:rPr>
            <w:rStyle w:val="Hyperlink"/>
            <w:i w:val="0"/>
            <w:highlight w:val="lightGray"/>
            <w:u w:val="none"/>
          </w:rPr>
          <w:t>We only accept orders when we've checked them</w:t>
        </w:r>
      </w:hyperlink>
      <w:r>
        <w:t>.</w:t>
      </w:r>
    </w:p>
    <w:p w14:paraId="312BB751" w14:textId="77777777" w:rsidR="00F00B1E" w:rsidRDefault="004D2C0E" w:rsidP="00AE1FA3">
      <w:pPr>
        <w:pStyle w:val="ClauseBullet1"/>
      </w:pPr>
      <w:hyperlink w:anchor="a608777" w:history="1">
        <w:r>
          <w:rPr>
            <w:rStyle w:val="Hyperlink"/>
            <w:i w:val="0"/>
            <w:highlight w:val="lightGray"/>
            <w:u w:val="none"/>
          </w:rPr>
          <w:t>Sometimes we reject orders</w:t>
        </w:r>
      </w:hyperlink>
      <w:r>
        <w:t>.</w:t>
      </w:r>
    </w:p>
    <w:p w14:paraId="752463E2" w14:textId="1D423500" w:rsidR="00F00B1E" w:rsidRDefault="004D2C0E" w:rsidP="00AE1FA3">
      <w:pPr>
        <w:pStyle w:val="ClauseBullet1"/>
      </w:pPr>
      <w:hyperlink w:anchor="a206737" w:history="1">
        <w:r>
          <w:rPr>
            <w:rStyle w:val="Hyperlink"/>
            <w:i w:val="0"/>
            <w:highlight w:val="lightGray"/>
            <w:u w:val="none"/>
          </w:rPr>
          <w:t>We charge you when you order</w:t>
        </w:r>
      </w:hyperlink>
      <w:r>
        <w:t>.</w:t>
      </w:r>
    </w:p>
    <w:p w14:paraId="1018BD8E" w14:textId="77777777" w:rsidR="00F00B1E" w:rsidRDefault="004D2C0E" w:rsidP="00AE1FA3">
      <w:pPr>
        <w:pStyle w:val="ClauseBullet1"/>
      </w:pPr>
      <w:hyperlink w:anchor="a465390" w:history="1">
        <w:r>
          <w:rPr>
            <w:rStyle w:val="Hyperlink"/>
            <w:i w:val="0"/>
            <w:highlight w:val="lightGray"/>
            <w:u w:val="none"/>
          </w:rPr>
          <w:t>We charge interest on late payments</w:t>
        </w:r>
      </w:hyperlink>
      <w:r>
        <w:t>.</w:t>
      </w:r>
    </w:p>
    <w:p w14:paraId="202CAC28" w14:textId="77777777" w:rsidR="00F00B1E" w:rsidRDefault="004D2C0E" w:rsidP="00AE1FA3">
      <w:pPr>
        <w:pStyle w:val="ClauseBullet1"/>
      </w:pPr>
      <w:hyperlink w:anchor="a817944" w:history="1">
        <w:r>
          <w:rPr>
            <w:rStyle w:val="Hyperlink"/>
            <w:i w:val="0"/>
            <w:highlight w:val="lightGray"/>
            <w:u w:val="none"/>
          </w:rPr>
          <w:t>We pass on increases in VAT</w:t>
        </w:r>
      </w:hyperlink>
      <w:r>
        <w:t>.</w:t>
      </w:r>
    </w:p>
    <w:p w14:paraId="6CD53D84" w14:textId="77777777" w:rsidR="00F00B1E" w:rsidRDefault="004D2C0E" w:rsidP="00AE1FA3">
      <w:pPr>
        <w:pStyle w:val="ClauseBullet1"/>
      </w:pPr>
      <w:hyperlink w:anchor="a952379" w:history="1">
        <w:r>
          <w:rPr>
            <w:rStyle w:val="Hyperlink"/>
            <w:i w:val="0"/>
            <w:highlight w:val="lightGray"/>
            <w:u w:val="none"/>
          </w:rPr>
          <w:t>We're not responsible for delays outside our control</w:t>
        </w:r>
      </w:hyperlink>
      <w:r>
        <w:t>.</w:t>
      </w:r>
    </w:p>
    <w:p w14:paraId="7B763B9A" w14:textId="227A09EA" w:rsidR="00F00B1E" w:rsidRDefault="004D2C0E" w:rsidP="00AE1FA3">
      <w:pPr>
        <w:pStyle w:val="ClauseBullet1"/>
      </w:pPr>
      <w:hyperlink w:anchor="a408689" w:history="1">
        <w:r>
          <w:rPr>
            <w:rStyle w:val="Hyperlink"/>
            <w:i w:val="0"/>
            <w:highlight w:val="lightGray"/>
            <w:u w:val="none"/>
          </w:rPr>
          <w:t>If you are a consumer and you bought online</w:t>
        </w:r>
        <w:r w:rsidR="0029510C">
          <w:rPr>
            <w:rStyle w:val="Hyperlink"/>
            <w:i w:val="0"/>
            <w:highlight w:val="lightGray"/>
            <w:u w:val="none"/>
          </w:rPr>
          <w:t xml:space="preserve"> or</w:t>
        </w:r>
        <w:r>
          <w:rPr>
            <w:rStyle w:val="Hyperlink"/>
            <w:i w:val="0"/>
            <w:highlight w:val="lightGray"/>
            <w:u w:val="none"/>
          </w:rPr>
          <w:t xml:space="preserve"> over the telephone, you have a legal right to change your mind</w:t>
        </w:r>
      </w:hyperlink>
      <w:r>
        <w:t>.</w:t>
      </w:r>
    </w:p>
    <w:p w14:paraId="01D96EB2" w14:textId="77777777" w:rsidR="00F00B1E" w:rsidRDefault="004D2C0E" w:rsidP="00AE1FA3">
      <w:pPr>
        <w:pStyle w:val="ClauseBullet1"/>
      </w:pPr>
      <w:hyperlink w:anchor="a380822" w:history="1">
        <w:r>
          <w:rPr>
            <w:rStyle w:val="Hyperlink"/>
            <w:i w:val="0"/>
            <w:highlight w:val="lightGray"/>
            <w:u w:val="none"/>
          </w:rPr>
          <w:t>You can end an on-going contract (find out how)</w:t>
        </w:r>
      </w:hyperlink>
      <w:r>
        <w:t>.</w:t>
      </w:r>
    </w:p>
    <w:p w14:paraId="0D785DF0" w14:textId="77777777" w:rsidR="00F00B1E" w:rsidRDefault="004D2C0E" w:rsidP="00AE1FA3">
      <w:pPr>
        <w:pStyle w:val="ClauseBullet1"/>
      </w:pPr>
      <w:hyperlink w:anchor="a156701" w:history="1">
        <w:r>
          <w:rPr>
            <w:rStyle w:val="Hyperlink"/>
            <w:i w:val="0"/>
            <w:highlight w:val="lightGray"/>
            <w:u w:val="none"/>
          </w:rPr>
          <w:t>You have rights if there is something wrong with your product</w:t>
        </w:r>
      </w:hyperlink>
      <w:r>
        <w:t>.</w:t>
      </w:r>
    </w:p>
    <w:p w14:paraId="5DB8674D" w14:textId="77777777" w:rsidR="00F00B1E" w:rsidRDefault="004D2C0E" w:rsidP="00AE1FA3">
      <w:pPr>
        <w:pStyle w:val="ClauseBullet1"/>
      </w:pPr>
      <w:hyperlink w:anchor="a257752" w:history="1">
        <w:r>
          <w:rPr>
            <w:rStyle w:val="Hyperlink"/>
            <w:i w:val="0"/>
            <w:highlight w:val="lightGray"/>
            <w:u w:val="none"/>
          </w:rPr>
          <w:t>We can change products and these terms</w:t>
        </w:r>
      </w:hyperlink>
      <w:r>
        <w:t>.</w:t>
      </w:r>
    </w:p>
    <w:p w14:paraId="065FDEC6" w14:textId="77777777" w:rsidR="00F00B1E" w:rsidRDefault="004D2C0E" w:rsidP="00AE1FA3">
      <w:pPr>
        <w:pStyle w:val="ClauseBullet1"/>
      </w:pPr>
      <w:hyperlink w:anchor="a466087" w:history="1">
        <w:r>
          <w:rPr>
            <w:rStyle w:val="Hyperlink"/>
            <w:i w:val="0"/>
            <w:highlight w:val="lightGray"/>
            <w:u w:val="none"/>
          </w:rPr>
          <w:t>We can suspend supply (and you have rights if we do)</w:t>
        </w:r>
      </w:hyperlink>
      <w:r>
        <w:t>.</w:t>
      </w:r>
    </w:p>
    <w:p w14:paraId="26F217B1" w14:textId="77777777" w:rsidR="00F00B1E" w:rsidRDefault="004D2C0E" w:rsidP="00AE1FA3">
      <w:pPr>
        <w:pStyle w:val="ClauseBullet1"/>
      </w:pPr>
      <w:hyperlink w:anchor="a889796" w:history="1">
        <w:r>
          <w:rPr>
            <w:rStyle w:val="Hyperlink"/>
            <w:i w:val="0"/>
            <w:highlight w:val="lightGray"/>
            <w:u w:val="none"/>
          </w:rPr>
          <w:t>We can withdraw products</w:t>
        </w:r>
      </w:hyperlink>
      <w:r>
        <w:t>.</w:t>
      </w:r>
    </w:p>
    <w:p w14:paraId="308398E6" w14:textId="77777777" w:rsidR="00F00B1E" w:rsidRDefault="004D2C0E" w:rsidP="00AE1FA3">
      <w:pPr>
        <w:pStyle w:val="ClauseBullet1"/>
      </w:pPr>
      <w:hyperlink w:anchor="a552072" w:history="1">
        <w:r>
          <w:rPr>
            <w:rStyle w:val="Hyperlink"/>
            <w:i w:val="0"/>
            <w:highlight w:val="lightGray"/>
            <w:u w:val="none"/>
          </w:rPr>
          <w:t>We can end our contract with you</w:t>
        </w:r>
      </w:hyperlink>
      <w:r>
        <w:t>.</w:t>
      </w:r>
    </w:p>
    <w:p w14:paraId="438D80DA" w14:textId="77777777" w:rsidR="00F00B1E" w:rsidRDefault="004D2C0E" w:rsidP="00AE1FA3">
      <w:pPr>
        <w:pStyle w:val="ClauseBullet1"/>
      </w:pPr>
      <w:hyperlink w:anchor="a685803" w:history="1">
        <w:r>
          <w:rPr>
            <w:rStyle w:val="Hyperlink"/>
            <w:i w:val="0"/>
            <w:highlight w:val="lightGray"/>
            <w:u w:val="none"/>
          </w:rPr>
          <w:t>We don't compensate you for all losses caused by us or our products</w:t>
        </w:r>
      </w:hyperlink>
      <w:r>
        <w:t>.</w:t>
      </w:r>
    </w:p>
    <w:p w14:paraId="2695081C" w14:textId="77777777" w:rsidR="00F00B1E" w:rsidRDefault="004D2C0E" w:rsidP="00AE1FA3">
      <w:pPr>
        <w:pStyle w:val="ClauseBullet1"/>
      </w:pPr>
      <w:hyperlink w:anchor="a182170" w:history="1">
        <w:r>
          <w:rPr>
            <w:rStyle w:val="Hyperlink"/>
            <w:i w:val="0"/>
            <w:highlight w:val="lightGray"/>
            <w:u w:val="none"/>
          </w:rPr>
          <w:t>We use your personal data as set out in our Privacy Notice</w:t>
        </w:r>
      </w:hyperlink>
      <w:r>
        <w:t>.</w:t>
      </w:r>
    </w:p>
    <w:p w14:paraId="3E64D6A4" w14:textId="77777777" w:rsidR="00F00B1E" w:rsidRDefault="004D2C0E" w:rsidP="00AE1FA3">
      <w:pPr>
        <w:pStyle w:val="ClauseBullet1"/>
      </w:pPr>
      <w:hyperlink w:anchor="a281601" w:history="1">
        <w:r>
          <w:rPr>
            <w:rStyle w:val="Hyperlink"/>
            <w:i w:val="0"/>
            <w:highlight w:val="lightGray"/>
            <w:u w:val="none"/>
          </w:rPr>
          <w:t>You have several options for resolving disputes with us</w:t>
        </w:r>
      </w:hyperlink>
      <w:r>
        <w:t>.</w:t>
      </w:r>
    </w:p>
    <w:p w14:paraId="3D8B1B75" w14:textId="77777777" w:rsidR="00F00B1E" w:rsidRDefault="004D2C0E" w:rsidP="00AE1FA3">
      <w:pPr>
        <w:pStyle w:val="ClauseBullet1"/>
      </w:pPr>
      <w:hyperlink w:anchor="a702623" w:history="1">
        <w:r>
          <w:rPr>
            <w:rStyle w:val="Hyperlink"/>
            <w:i w:val="0"/>
            <w:highlight w:val="lightGray"/>
            <w:u w:val="none"/>
          </w:rPr>
          <w:t>Other important terms apply to our contract</w:t>
        </w:r>
      </w:hyperlink>
      <w:r>
        <w:t xml:space="preserve">. </w:t>
      </w:r>
    </w:p>
    <w:p w14:paraId="1CA93518" w14:textId="77777777" w:rsidR="00F00B1E" w:rsidRDefault="004D2C0E" w:rsidP="00AE1FA3">
      <w:pPr>
        <w:pStyle w:val="NoNumTitle-Clause"/>
      </w:pPr>
      <w:bookmarkStart w:id="7" w:name="a283112"/>
      <w:r>
        <w:lastRenderedPageBreak/>
        <w:t>If you are a business customer this is our entire agreement with you</w:t>
      </w:r>
      <w:bookmarkEnd w:id="7"/>
    </w:p>
    <w:p w14:paraId="2266882D" w14:textId="39983965" w:rsidR="00F00B1E" w:rsidRDefault="004D2C0E" w:rsidP="00AE1FA3">
      <w:pPr>
        <w:pStyle w:val="NoNumUntitledsubclause1"/>
      </w:pPr>
      <w:bookmarkStart w:id="8" w:name="a575335"/>
      <w:r>
        <w:t>If you are a business customer these terms constitute the entire agreement between us in relation to your purchase. You acknowledge that you have not relied on any statement, promise, representation, assurance or warranty made or given by us or on our behalf which is not set out in these terms and that you have no claim for innocent or negligent misrepresentation or negligent misstatement based on any statement in this agreement.</w:t>
      </w:r>
      <w:bookmarkEnd w:id="8"/>
    </w:p>
    <w:p w14:paraId="5282F180" w14:textId="77777777" w:rsidR="00F00B1E" w:rsidRDefault="004D2C0E" w:rsidP="00AE1FA3">
      <w:pPr>
        <w:pStyle w:val="NoNumTitle-Clause"/>
      </w:pPr>
      <w:bookmarkStart w:id="9" w:name="a119452"/>
      <w:r>
        <w:t xml:space="preserve">We only accept orders when we've checked them </w:t>
      </w:r>
      <w:bookmarkEnd w:id="9"/>
    </w:p>
    <w:p w14:paraId="04779C76" w14:textId="6B6AD878" w:rsidR="00F00B1E" w:rsidRDefault="004D2C0E" w:rsidP="00AE1FA3">
      <w:pPr>
        <w:pStyle w:val="NoNumUntitledsubclause1"/>
      </w:pPr>
      <w:bookmarkStart w:id="10" w:name="a947462"/>
      <w:r>
        <w:t xml:space="preserve">We contact you to confirm we've received your order and we accept it when we supply the product to you. </w:t>
      </w:r>
      <w:bookmarkEnd w:id="10"/>
    </w:p>
    <w:p w14:paraId="7BBA0FFD" w14:textId="77777777" w:rsidR="00F00B1E" w:rsidRDefault="004D2C0E" w:rsidP="00AE1FA3">
      <w:pPr>
        <w:pStyle w:val="NoNumTitle-Clause"/>
      </w:pPr>
      <w:bookmarkStart w:id="11" w:name="a608777"/>
      <w:r>
        <w:t>Sometimes we reject orders</w:t>
      </w:r>
      <w:bookmarkEnd w:id="11"/>
    </w:p>
    <w:p w14:paraId="2C0454CC" w14:textId="61DEB549" w:rsidR="00F00B1E" w:rsidRDefault="004D2C0E" w:rsidP="00AE1FA3">
      <w:pPr>
        <w:pStyle w:val="NoNumUntitledsubclause1"/>
      </w:pPr>
      <w:bookmarkStart w:id="12" w:name="a381459"/>
      <w:r>
        <w:t>Sometimes we reject orders, for example, because a credit reference we have obtained is unsatisfactory, because we can't verify your age (where the product is age-restricted), because you are located outside the UK or because the product was mispriced by us. When this happens, we let you know as soon as possible and refund any sums you have paid.</w:t>
      </w:r>
      <w:bookmarkEnd w:id="12"/>
    </w:p>
    <w:p w14:paraId="3D35E190" w14:textId="4BE9FB0E" w:rsidR="00F00B1E" w:rsidRDefault="004D2C0E" w:rsidP="00AE1FA3">
      <w:pPr>
        <w:pStyle w:val="NoNumTitle-Clause"/>
      </w:pPr>
      <w:bookmarkStart w:id="13" w:name="a206737"/>
      <w:r>
        <w:t xml:space="preserve">We charge you when you order </w:t>
      </w:r>
      <w:bookmarkEnd w:id="13"/>
    </w:p>
    <w:p w14:paraId="571B27C7" w14:textId="6A5129DD" w:rsidR="00F00B1E" w:rsidRPr="00571D42" w:rsidRDefault="004D2C0E" w:rsidP="00AE1FA3">
      <w:pPr>
        <w:pStyle w:val="NoNumUntitledsubclause1"/>
      </w:pPr>
      <w:bookmarkStart w:id="14" w:name="a692012"/>
      <w:r>
        <w:t xml:space="preserve">However, for some products we take payment at regular intervals, as explained to you during the order process. </w:t>
      </w:r>
      <w:bookmarkEnd w:id="14"/>
    </w:p>
    <w:p w14:paraId="47D1EEA9" w14:textId="77777777" w:rsidR="00F00B1E" w:rsidRDefault="004D2C0E" w:rsidP="00AE1FA3">
      <w:pPr>
        <w:pStyle w:val="NoNumTitle-Clause"/>
      </w:pPr>
      <w:bookmarkStart w:id="15" w:name="a657389"/>
      <w:r>
        <w:t>If you are a business customer you have no set-off rights</w:t>
      </w:r>
      <w:bookmarkEnd w:id="15"/>
    </w:p>
    <w:p w14:paraId="5BBD9C6A" w14:textId="355F0878" w:rsidR="00F00B1E" w:rsidRDefault="004D2C0E" w:rsidP="00AE1FA3">
      <w:pPr>
        <w:pStyle w:val="NoNumUntitledsubclause1"/>
        <w:rPr>
          <w:bCs/>
        </w:rPr>
      </w:pPr>
      <w:bookmarkStart w:id="16" w:name="a302176"/>
      <w:r>
        <w:rPr>
          <w:bCs/>
        </w:rPr>
        <w:t>If you are a business customer you must pay all amounts due to us under these terms in full without any set-off, counterclaim, deduction or withholding (other than any deduction or withholding of tax as required by law)</w:t>
      </w:r>
      <w:r w:rsidR="00245606">
        <w:rPr>
          <w:bCs/>
        </w:rPr>
        <w:t>.</w:t>
      </w:r>
      <w:bookmarkEnd w:id="16"/>
    </w:p>
    <w:p w14:paraId="1426723E" w14:textId="77777777" w:rsidR="00F00B1E" w:rsidRDefault="004D2C0E" w:rsidP="00AE1FA3">
      <w:pPr>
        <w:pStyle w:val="NoNumTitle-Clause"/>
      </w:pPr>
      <w:bookmarkStart w:id="17" w:name="a465390"/>
      <w:r>
        <w:t>We charge interest on late payments</w:t>
      </w:r>
      <w:bookmarkEnd w:id="17"/>
    </w:p>
    <w:p w14:paraId="21F95EEF" w14:textId="7D636DB8" w:rsidR="00F00B1E" w:rsidRDefault="004D2C0E" w:rsidP="00AE1FA3">
      <w:pPr>
        <w:pStyle w:val="NoNumUntitledsubclause1"/>
      </w:pPr>
      <w:bookmarkStart w:id="18" w:name="a726454"/>
      <w:r>
        <w:t xml:space="preserve">If we're unable to collect any payment you owe us we charge interest on the overdue amount at the </w:t>
      </w:r>
      <w:r w:rsidRPr="003D7D44">
        <w:t xml:space="preserve">rate </w:t>
      </w:r>
      <w:r w:rsidR="003D7D44">
        <w:t>of [</w:t>
      </w:r>
      <w:r w:rsidR="003D7D44" w:rsidRPr="003D7D44">
        <w:t>5</w:t>
      </w:r>
      <w:r w:rsidRPr="003D7D44">
        <w:t>]% a year</w:t>
      </w:r>
      <w:r>
        <w:t xml:space="preserve"> above the Bank of England base rate from time to time. This interest accrues on a daily basis from the due date until the date of actual payment of the overdue amount, whether before or after judgment. You pay us the interest together with any overdue amount. </w:t>
      </w:r>
      <w:bookmarkEnd w:id="18"/>
    </w:p>
    <w:p w14:paraId="76BBC951" w14:textId="77777777" w:rsidR="00F00B1E" w:rsidRDefault="004D2C0E" w:rsidP="00AE1FA3">
      <w:pPr>
        <w:pStyle w:val="NoNumTitle-Clause"/>
      </w:pPr>
      <w:bookmarkStart w:id="19" w:name="a817944"/>
      <w:r>
        <w:lastRenderedPageBreak/>
        <w:t>We pass on increases in VAT</w:t>
      </w:r>
      <w:bookmarkEnd w:id="19"/>
    </w:p>
    <w:p w14:paraId="1D27281B" w14:textId="77777777" w:rsidR="00F00B1E" w:rsidRDefault="004D2C0E" w:rsidP="00AE1FA3">
      <w:pPr>
        <w:pStyle w:val="NoNumUntitledsubclause1"/>
      </w:pPr>
      <w:bookmarkStart w:id="20" w:name="a136161"/>
      <w:r>
        <w:t>If the rate of VAT changes between your order date and the date we supply the product, we adjust the rate of VAT that you pay, unless you have already paid in full before the change in the rate of VAT takes effect.</w:t>
      </w:r>
      <w:bookmarkEnd w:id="20"/>
    </w:p>
    <w:p w14:paraId="023A5B12" w14:textId="77777777" w:rsidR="00F00B1E" w:rsidRDefault="004D2C0E" w:rsidP="00AE1FA3">
      <w:pPr>
        <w:pStyle w:val="NoNumTitle-Clause"/>
      </w:pPr>
      <w:bookmarkStart w:id="21" w:name="a952379"/>
      <w:r>
        <w:t xml:space="preserve">We're not responsible for delays outside our control </w:t>
      </w:r>
      <w:bookmarkEnd w:id="21"/>
    </w:p>
    <w:p w14:paraId="13C46B0D" w14:textId="2CD41259" w:rsidR="00F00B1E" w:rsidRDefault="004D2C0E" w:rsidP="00AE1FA3">
      <w:pPr>
        <w:pStyle w:val="NoNumUntitledsubclause1"/>
      </w:pPr>
      <w:bookmarkStart w:id="22" w:name="a791216"/>
      <w:r>
        <w:t xml:space="preserve">If our supply of your product is delayed by an event outside our control, we contact you as soon as possible to let you know and do what we can to reduce the delay. As long as we do this, we won't compensate you for the delay, but if the delay is likely to be substantial you can contact our Customer Service </w:t>
      </w:r>
      <w:r w:rsidRPr="003D7D44">
        <w:t>Team: [</w:t>
      </w:r>
      <w:r w:rsidR="003D7D44" w:rsidRPr="003D7D44">
        <w:t>www</w:t>
      </w:r>
      <w:r w:rsidR="003D7D44">
        <w:t xml:space="preserve">.connecttrading/contact.co.uk] </w:t>
      </w:r>
      <w:r>
        <w:t xml:space="preserve">to end the contract and receive a refund for any products you have paid for in advance, but not received. </w:t>
      </w:r>
      <w:bookmarkEnd w:id="22"/>
    </w:p>
    <w:p w14:paraId="1C948FD0" w14:textId="525AC5F8" w:rsidR="00F00B1E" w:rsidRDefault="004D2C0E" w:rsidP="00AE1FA3">
      <w:pPr>
        <w:pStyle w:val="NoNumTitle-Clause"/>
      </w:pPr>
      <w:bookmarkStart w:id="23" w:name="a408689"/>
      <w:r>
        <w:t xml:space="preserve">If you are a consumer and you bought online </w:t>
      </w:r>
      <w:r w:rsidR="00245606">
        <w:t>or</w:t>
      </w:r>
      <w:r>
        <w:t xml:space="preserve"> over the telephone, you have a legal right to change your mind </w:t>
      </w:r>
      <w:bookmarkEnd w:id="23"/>
    </w:p>
    <w:p w14:paraId="4EC7FEDA" w14:textId="275051A7" w:rsidR="00F00B1E" w:rsidRDefault="004D2C0E" w:rsidP="00245606">
      <w:pPr>
        <w:pStyle w:val="NoNumUntitledsubclause1"/>
      </w:pPr>
      <w:bookmarkStart w:id="24" w:name="a768498"/>
      <w:commentRangeStart w:id="25"/>
      <w:r>
        <w:rPr>
          <w:b/>
          <w:bCs/>
        </w:rPr>
        <w:t>Your legal right to change your mind</w:t>
      </w:r>
      <w:r>
        <w:t xml:space="preserve">. </w:t>
      </w:r>
      <w:commentRangeEnd w:id="25"/>
      <w:r w:rsidR="003348E0">
        <w:rPr>
          <w:rStyle w:val="CommentReference"/>
          <w:sz w:val="24"/>
          <w:szCs w:val="20"/>
        </w:rPr>
        <w:commentReference w:id="25"/>
      </w:r>
      <w:r>
        <w:t xml:space="preserve">For most </w:t>
      </w:r>
      <w:r w:rsidRPr="003348E0">
        <w:t>of our products bought online</w:t>
      </w:r>
      <w:r w:rsidR="00245606" w:rsidRPr="003348E0">
        <w:t xml:space="preserve"> or </w:t>
      </w:r>
      <w:r w:rsidRPr="003348E0">
        <w:t>over the telephone, you have a legal</w:t>
      </w:r>
      <w:r>
        <w:t xml:space="preserve"> right to change your mind about your purchase and receive a refund of what you paid for it, including the delivery costs. This is subject to some conditions, as set out below.</w:t>
      </w:r>
      <w:bookmarkEnd w:id="24"/>
    </w:p>
    <w:tbl>
      <w:tblPr>
        <w:tblStyle w:val="TableGrid"/>
        <w:tblW w:w="5272" w:type="dxa"/>
        <w:tblInd w:w="2035" w:type="dxa"/>
        <w:tblLook w:val="04A0" w:firstRow="1" w:lastRow="0" w:firstColumn="1" w:lastColumn="0" w:noHBand="0" w:noVBand="1"/>
      </w:tblPr>
      <w:tblGrid>
        <w:gridCol w:w="5272"/>
      </w:tblGrid>
      <w:tr w:rsidR="00245606" w14:paraId="3EE7E40B" w14:textId="77777777" w:rsidTr="00245606">
        <w:trPr>
          <w:trHeight w:val="809"/>
        </w:trPr>
        <w:tc>
          <w:tcPr>
            <w:tcW w:w="5272" w:type="dxa"/>
            <w:tcBorders>
              <w:top w:val="single" w:sz="4" w:space="0" w:color="auto"/>
              <w:left w:val="single" w:sz="4" w:space="0" w:color="auto"/>
              <w:bottom w:val="single" w:sz="4" w:space="0" w:color="auto"/>
              <w:right w:val="single" w:sz="4" w:space="0" w:color="auto"/>
            </w:tcBorders>
          </w:tcPr>
          <w:p w14:paraId="6988D8AB" w14:textId="77777777" w:rsidR="00245606" w:rsidRPr="00E467A4" w:rsidRDefault="00245606" w:rsidP="006E299A">
            <w:pPr>
              <w:pStyle w:val="Paragraph"/>
              <w:rPr>
                <w:b/>
                <w:bCs/>
              </w:rPr>
            </w:pPr>
            <w:r>
              <w:rPr>
                <w:b/>
                <w:bCs/>
              </w:rPr>
              <w:t>Your legal rights</w:t>
            </w:r>
          </w:p>
        </w:tc>
      </w:tr>
      <w:tr w:rsidR="00245606" w14:paraId="47EC194F" w14:textId="77777777" w:rsidTr="00245606">
        <w:trPr>
          <w:trHeight w:val="468"/>
        </w:trPr>
        <w:tc>
          <w:tcPr>
            <w:tcW w:w="5272" w:type="dxa"/>
            <w:tcBorders>
              <w:top w:val="single" w:sz="4" w:space="0" w:color="auto"/>
              <w:left w:val="single" w:sz="4" w:space="0" w:color="auto"/>
              <w:bottom w:val="single" w:sz="4" w:space="0" w:color="auto"/>
              <w:right w:val="single" w:sz="4" w:space="0" w:color="auto"/>
            </w:tcBorders>
          </w:tcPr>
          <w:p w14:paraId="61243FAD" w14:textId="4E1DCB47" w:rsidR="00245606" w:rsidRDefault="00245606" w:rsidP="006E299A">
            <w:pPr>
              <w:pStyle w:val="Paragraph"/>
            </w:pPr>
            <w:r>
              <w:t>14 days to change your mind online and telephone sales only.</w:t>
            </w:r>
          </w:p>
        </w:tc>
      </w:tr>
      <w:tr w:rsidR="00245606" w14:paraId="378E6C4A" w14:textId="77777777" w:rsidTr="00245606">
        <w:trPr>
          <w:trHeight w:val="468"/>
        </w:trPr>
        <w:tc>
          <w:tcPr>
            <w:tcW w:w="5272" w:type="dxa"/>
            <w:tcBorders>
              <w:top w:val="single" w:sz="4" w:space="0" w:color="auto"/>
              <w:left w:val="single" w:sz="4" w:space="0" w:color="auto"/>
              <w:bottom w:val="single" w:sz="4" w:space="0" w:color="auto"/>
              <w:right w:val="single" w:sz="4" w:space="0" w:color="auto"/>
            </w:tcBorders>
          </w:tcPr>
          <w:p w14:paraId="4793C83C" w14:textId="77777777" w:rsidR="00245606" w:rsidRDefault="00245606" w:rsidP="006E299A">
            <w:pPr>
              <w:pStyle w:val="Paragraph"/>
            </w:pPr>
            <w:r>
              <w:t>You pay costs of return</w:t>
            </w:r>
          </w:p>
        </w:tc>
      </w:tr>
    </w:tbl>
    <w:p w14:paraId="6DDD2E98" w14:textId="77777777" w:rsidR="00F00B1E" w:rsidRDefault="004D2C0E" w:rsidP="00AE1FA3">
      <w:pPr>
        <w:pStyle w:val="NoNumUntitledsubclause1"/>
      </w:pPr>
      <w:bookmarkStart w:id="26" w:name="a380785"/>
      <w:r>
        <w:rPr>
          <w:b/>
          <w:bCs/>
        </w:rPr>
        <w:t>When you can't change your mind</w:t>
      </w:r>
      <w:r>
        <w:t xml:space="preserve">. You can't change your mind about an order for: </w:t>
      </w:r>
      <w:bookmarkEnd w:id="26"/>
    </w:p>
    <w:p w14:paraId="595163A5" w14:textId="006FF36A" w:rsidR="00F00B1E" w:rsidRDefault="004D2C0E" w:rsidP="00AE1FA3">
      <w:pPr>
        <w:pStyle w:val="subclause1Bullet1"/>
      </w:pPr>
      <w:r>
        <w:t>digital products, after you have started to download or stream these;</w:t>
      </w:r>
      <w:r w:rsidR="00245606">
        <w:t xml:space="preserve"> or</w:t>
      </w:r>
    </w:p>
    <w:p w14:paraId="4E87518B" w14:textId="634DE8A5" w:rsidR="00F00B1E" w:rsidRDefault="004D2C0E" w:rsidP="00245606">
      <w:pPr>
        <w:pStyle w:val="subclause1Bullet1"/>
      </w:pPr>
      <w:r>
        <w:t>services, once these have been completed</w:t>
      </w:r>
      <w:r w:rsidR="00245606">
        <w:t>.</w:t>
      </w:r>
    </w:p>
    <w:p w14:paraId="385015A4" w14:textId="7F7DD004" w:rsidR="00F00B1E" w:rsidRPr="00D667D8" w:rsidRDefault="004D2C0E" w:rsidP="00AE1FA3">
      <w:pPr>
        <w:pStyle w:val="NoNumUntitledsubclause1"/>
        <w:rPr>
          <w:b/>
        </w:rPr>
      </w:pPr>
      <w:bookmarkStart w:id="27" w:name="a940009"/>
      <w:r>
        <w:rPr>
          <w:b/>
          <w:bCs/>
        </w:rPr>
        <w:t>The deadline for changing your mind</w:t>
      </w:r>
      <w:r>
        <w:t>. If you change your mind about a product you must let us know no later than 14 days after:</w:t>
      </w:r>
      <w:bookmarkEnd w:id="27"/>
    </w:p>
    <w:p w14:paraId="072B11B6" w14:textId="2024E3C8" w:rsidR="00F00B1E" w:rsidRDefault="004D2C0E" w:rsidP="00AE1FA3">
      <w:pPr>
        <w:pStyle w:val="subclause1Bullet1"/>
      </w:pPr>
      <w:r>
        <w:t xml:space="preserve">the day we confirm we have accepted your order, if it is for a </w:t>
      </w:r>
      <w:r>
        <w:rPr>
          <w:b/>
          <w:bCs/>
        </w:rPr>
        <w:t>service</w:t>
      </w:r>
      <w:r w:rsidR="00245606">
        <w:t>.</w:t>
      </w:r>
    </w:p>
    <w:p w14:paraId="1A5324F2" w14:textId="222FDC8F" w:rsidR="00F00B1E" w:rsidRDefault="004D2C0E" w:rsidP="00AE1FA3">
      <w:pPr>
        <w:pStyle w:val="subclause1Bullet1"/>
      </w:pPr>
      <w:r>
        <w:lastRenderedPageBreak/>
        <w:t xml:space="preserve">the day we confirm we have accepted your order, if it is for </w:t>
      </w:r>
      <w:r>
        <w:rPr>
          <w:b/>
          <w:bCs/>
        </w:rPr>
        <w:t>digital content for download or streaming</w:t>
      </w:r>
      <w:r w:rsidR="00245606" w:rsidRPr="00245606">
        <w:t>,</w:t>
      </w:r>
      <w:r w:rsidR="00245606">
        <w:rPr>
          <w:b/>
          <w:bCs/>
        </w:rPr>
        <w:t xml:space="preserve"> </w:t>
      </w:r>
      <w:r>
        <w:t xml:space="preserve">although you can't change your mind about digital content once we have started providing it. </w:t>
      </w:r>
    </w:p>
    <w:p w14:paraId="02BD29BD" w14:textId="72EF11DE" w:rsidR="00F00B1E" w:rsidRDefault="004D2C0E" w:rsidP="00AE1FA3">
      <w:pPr>
        <w:pStyle w:val="NoNumUntitledsubclause1"/>
      </w:pPr>
      <w:bookmarkStart w:id="28" w:name="a577792"/>
      <w:r>
        <w:rPr>
          <w:b/>
          <w:bCs/>
        </w:rPr>
        <w:t>How to let us know</w:t>
      </w:r>
      <w:r>
        <w:t>. To let us know you want to change your mind, contact our Customer Service Team: [</w:t>
      </w:r>
      <w:r w:rsidR="003D7D44">
        <w:t>www.connecttrading/contact.co.uk]</w:t>
      </w:r>
      <w:r>
        <w:t xml:space="preserve"> </w:t>
      </w:r>
      <w:bookmarkEnd w:id="28"/>
    </w:p>
    <w:p w14:paraId="24EDC620" w14:textId="0139EB31" w:rsidR="00F00B1E" w:rsidRDefault="004D2C0E" w:rsidP="00AE1FA3">
      <w:pPr>
        <w:pStyle w:val="NoNumUntitledsubclause1"/>
        <w:rPr>
          <w:b/>
        </w:rPr>
      </w:pPr>
      <w:bookmarkStart w:id="29" w:name="a354390"/>
      <w:r>
        <w:rPr>
          <w:b/>
          <w:bCs/>
        </w:rPr>
        <w:t>You have to pay for services you received before you change your mind</w:t>
      </w:r>
      <w:r>
        <w:t xml:space="preserve">. If you bought a service we don't refund you for the time you were receiving it before you told us you'd changed your mind. </w:t>
      </w:r>
      <w:bookmarkEnd w:id="29"/>
    </w:p>
    <w:p w14:paraId="52A4D0BF" w14:textId="26005B71" w:rsidR="00F00B1E" w:rsidRDefault="004D2C0E" w:rsidP="00AE1FA3">
      <w:pPr>
        <w:pStyle w:val="NoNumUntitledsubclause1"/>
      </w:pPr>
      <w:bookmarkStart w:id="30" w:name="a284733"/>
      <w:r>
        <w:rPr>
          <w:b/>
          <w:bCs/>
        </w:rPr>
        <w:t>When and how we refund you</w:t>
      </w:r>
      <w:r>
        <w:t>. If your product is a service</w:t>
      </w:r>
      <w:r w:rsidR="00245606">
        <w:t xml:space="preserve"> or</w:t>
      </w:r>
      <w:r>
        <w:t xml:space="preserve"> digital content, we refund you as soon as possible and within 14 days of you telling us you've changed your mind. We refund you by the method you used for payment. We don't charge a fee for the refund.</w:t>
      </w:r>
      <w:bookmarkEnd w:id="30"/>
    </w:p>
    <w:p w14:paraId="17E916B7" w14:textId="77777777" w:rsidR="00F00B1E" w:rsidRDefault="004D2C0E" w:rsidP="00AE1FA3">
      <w:pPr>
        <w:pStyle w:val="NoNumTitle-Clause"/>
      </w:pPr>
      <w:bookmarkStart w:id="31" w:name="a380822"/>
      <w:r>
        <w:t>You can end an on-going contract (find out how)</w:t>
      </w:r>
      <w:bookmarkEnd w:id="31"/>
    </w:p>
    <w:p w14:paraId="64193076" w14:textId="7D04B954" w:rsidR="00F00B1E" w:rsidRDefault="004D2C0E" w:rsidP="00AE1FA3">
      <w:pPr>
        <w:pStyle w:val="NoNumUntitledsubclause1"/>
        <w:rPr>
          <w:b/>
        </w:rPr>
      </w:pPr>
      <w:bookmarkStart w:id="32" w:name="a898799"/>
      <w:r>
        <w:t>We tell you when and how you can end an on-going contract with us (for example, for regular services or a subscription to digital content) during the order process and we confirm this information to you in writing after we've accepted your or</w:t>
      </w:r>
      <w:r w:rsidR="003D7D44">
        <w:t xml:space="preserve">der. If you have any questions, please </w:t>
      </w:r>
      <w:r>
        <w:t>contact our Customer Service Team:</w:t>
      </w:r>
      <w:bookmarkEnd w:id="32"/>
      <w:r w:rsidR="003D7D44">
        <w:t xml:space="preserve"> [www.connecttrading/contact.co.uk]</w:t>
      </w:r>
    </w:p>
    <w:p w14:paraId="356511BC" w14:textId="77777777" w:rsidR="00F00B1E" w:rsidRDefault="004D2C0E" w:rsidP="00AE1FA3">
      <w:pPr>
        <w:pStyle w:val="NoNumTitle-Clause"/>
      </w:pPr>
      <w:bookmarkStart w:id="33" w:name="a156701"/>
      <w:r>
        <w:t>You have rights if there is something wrong with your product</w:t>
      </w:r>
      <w:bookmarkEnd w:id="33"/>
    </w:p>
    <w:p w14:paraId="01661E3C" w14:textId="68C08918" w:rsidR="00F00B1E" w:rsidRDefault="004D2C0E" w:rsidP="00AE1FA3">
      <w:pPr>
        <w:pStyle w:val="NoNumUntitledsubclause1"/>
      </w:pPr>
      <w:bookmarkStart w:id="34" w:name="a105977"/>
      <w:r>
        <w:rPr>
          <w:b/>
          <w:bCs/>
        </w:rPr>
        <w:t>Return the product to us</w:t>
      </w:r>
      <w:r>
        <w:t xml:space="preserve">. If you think there is something wrong with your product, you must contact our Customer Service Team: </w:t>
      </w:r>
      <w:bookmarkEnd w:id="34"/>
      <w:r w:rsidR="003D7D44">
        <w:t>[www.connecttrading/contact.co.uk]</w:t>
      </w:r>
    </w:p>
    <w:p w14:paraId="45A29B78" w14:textId="7DA07338" w:rsidR="00F00B1E" w:rsidRDefault="004D2C0E" w:rsidP="00AE1FA3">
      <w:pPr>
        <w:pStyle w:val="NoNumUntitledsubclause1"/>
        <w:rPr>
          <w:b/>
        </w:rPr>
      </w:pPr>
      <w:bookmarkStart w:id="35" w:name="a184267"/>
      <w:r>
        <w:rPr>
          <w:b/>
          <w:bCs/>
        </w:rPr>
        <w:t>Your rights and remedies if you are a consumer</w:t>
      </w:r>
      <w:r>
        <w:t xml:space="preserve">. We honour our legal duty to provide you with products that are as described to you on our website and that meet all the requirements imposed by law. Your legal rights are summarised below. These are subject to certain exceptions. For detailed information please visit the Citizens Advice website www.citizensadvice.org.uk. Remember too that </w:t>
      </w:r>
      <w:hyperlink w:anchor="a281601" w:history="1">
        <w:r>
          <w:rPr>
            <w:rStyle w:val="Hyperlink"/>
            <w:i w:val="0"/>
            <w:highlight w:val="lightGray"/>
            <w:u w:val="none"/>
          </w:rPr>
          <w:t>You have several options for resolving disputes with us</w:t>
        </w:r>
      </w:hyperlink>
      <w:r>
        <w:t>.</w:t>
      </w:r>
      <w:bookmarkEnd w:id="35"/>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9340"/>
      </w:tblGrid>
      <w:tr w:rsidR="006658D9" w14:paraId="0C66107C" w14:textId="77777777" w:rsidTr="006E299A">
        <w:tc>
          <w:tcPr>
            <w:tcW w:w="5000" w:type="pct"/>
            <w:tcBorders>
              <w:top w:val="single" w:sz="8" w:space="0" w:color="000000"/>
              <w:left w:val="single" w:sz="8" w:space="0" w:color="000000"/>
              <w:bottom w:val="single" w:sz="8" w:space="0" w:color="000000"/>
              <w:right w:val="single" w:sz="8" w:space="0" w:color="000000"/>
            </w:tcBorders>
          </w:tcPr>
          <w:p w14:paraId="0A3322DD" w14:textId="77777777" w:rsidR="00F00B1E" w:rsidRDefault="004D2C0E" w:rsidP="006E299A">
            <w:pPr>
              <w:pStyle w:val="Paragraph"/>
              <w:jc w:val="left"/>
              <w:rPr>
                <w:b/>
              </w:rPr>
            </w:pPr>
            <w:r>
              <w:rPr>
                <w:b/>
              </w:rPr>
              <w:t xml:space="preserve">Summary of your key legal rights </w:t>
            </w:r>
          </w:p>
          <w:p w14:paraId="55A56E30" w14:textId="0F71160C" w:rsidR="00F00B1E" w:rsidRDefault="004D2C0E" w:rsidP="006E299A">
            <w:pPr>
              <w:pStyle w:val="Paragraph"/>
            </w:pPr>
            <w:r>
              <w:t xml:space="preserve">If your product is </w:t>
            </w:r>
            <w:r>
              <w:rPr>
                <w:b/>
              </w:rPr>
              <w:t>digital content</w:t>
            </w:r>
            <w:r>
              <w:t>, the Consumer Rights Act 2015 says digital content must be as described, fit for purpose and of satisfactory quality:</w:t>
            </w:r>
          </w:p>
          <w:p w14:paraId="46810087" w14:textId="77777777" w:rsidR="00F00B1E" w:rsidRDefault="004D2C0E" w:rsidP="006E299A">
            <w:pPr>
              <w:pStyle w:val="BulletList1"/>
            </w:pPr>
            <w:r>
              <w:t>If your digital content is faulty, you're entitled to a repair or a replacement.</w:t>
            </w:r>
          </w:p>
          <w:p w14:paraId="5DFE13C2" w14:textId="77777777" w:rsidR="00F00B1E" w:rsidRDefault="004D2C0E" w:rsidP="006E299A">
            <w:pPr>
              <w:pStyle w:val="BulletList1"/>
            </w:pPr>
            <w:r>
              <w:t xml:space="preserve">If the fault can't be fixed, or if it hasn't been fixed within a reasonable time and without significant inconvenience, you can get some or all of your money back. </w:t>
            </w:r>
          </w:p>
          <w:p w14:paraId="7748D5B6" w14:textId="77777777" w:rsidR="00F00B1E" w:rsidRDefault="004D2C0E" w:rsidP="006E299A">
            <w:pPr>
              <w:pStyle w:val="BulletList1"/>
            </w:pPr>
            <w:r>
              <w:lastRenderedPageBreak/>
              <w:t>If you can show the fault has damaged your device and we haven't used reasonable care and skill, you may be entitled to a repair or compensation</w:t>
            </w:r>
          </w:p>
          <w:p w14:paraId="403B97F6" w14:textId="006770A7" w:rsidR="00F00B1E" w:rsidRDefault="004D2C0E" w:rsidP="006E299A">
            <w:pPr>
              <w:pStyle w:val="Paragraph"/>
            </w:pPr>
            <w:r>
              <w:t xml:space="preserve">If your product is </w:t>
            </w:r>
            <w:r>
              <w:rPr>
                <w:b/>
              </w:rPr>
              <w:t>services</w:t>
            </w:r>
            <w:r>
              <w:t>, the Consumer Rights Act 2015 says:</w:t>
            </w:r>
          </w:p>
          <w:p w14:paraId="4941811F" w14:textId="77777777" w:rsidR="00F00B1E" w:rsidRDefault="004D2C0E" w:rsidP="006E299A">
            <w:pPr>
              <w:pStyle w:val="BulletList1"/>
            </w:pPr>
            <w:r>
              <w:t>You can ask us to repeat or fix a service if it's not carried out with reasonable care and skill, or get some money back if we can't fix it.</w:t>
            </w:r>
          </w:p>
          <w:p w14:paraId="71036A69" w14:textId="77777777" w:rsidR="00F00B1E" w:rsidRDefault="004D2C0E" w:rsidP="006E299A">
            <w:pPr>
              <w:pStyle w:val="BulletList1"/>
            </w:pPr>
            <w:r>
              <w:t>If a price hasn't been agreed upfront, what you're asked to pay must be reasonable.</w:t>
            </w:r>
          </w:p>
          <w:p w14:paraId="2B162A6B" w14:textId="77777777" w:rsidR="00F00B1E" w:rsidRDefault="004D2C0E" w:rsidP="006E299A">
            <w:pPr>
              <w:pStyle w:val="BulletList1"/>
            </w:pPr>
            <w:r>
              <w:t>If a time hasn't been agreed upfront, it must be carried out within a reasonable time.</w:t>
            </w:r>
          </w:p>
        </w:tc>
      </w:tr>
    </w:tbl>
    <w:p w14:paraId="770BFBDE" w14:textId="77777777" w:rsidR="00F00B1E" w:rsidRDefault="004D2C0E" w:rsidP="00AE1FA3">
      <w:pPr>
        <w:pStyle w:val="NoNumTitle-Clause"/>
      </w:pPr>
      <w:bookmarkStart w:id="36" w:name="a257752"/>
      <w:r>
        <w:lastRenderedPageBreak/>
        <w:t>We can change products and these terms</w:t>
      </w:r>
      <w:bookmarkEnd w:id="36"/>
    </w:p>
    <w:p w14:paraId="21CA6EE8" w14:textId="77777777" w:rsidR="00F00B1E" w:rsidRPr="00AB29A2" w:rsidRDefault="004D2C0E" w:rsidP="00AE1FA3">
      <w:pPr>
        <w:pStyle w:val="NoNumUntitledsubclause1"/>
      </w:pPr>
      <w:bookmarkStart w:id="37" w:name="a364403"/>
      <w:r>
        <w:rPr>
          <w:b/>
          <w:bCs/>
        </w:rPr>
        <w:t>Changes we can always make</w:t>
      </w:r>
      <w:r>
        <w:t>. We can always change a product:</w:t>
      </w:r>
      <w:bookmarkEnd w:id="37"/>
    </w:p>
    <w:p w14:paraId="6E0D8C7A" w14:textId="25BCD6B9" w:rsidR="00F00B1E" w:rsidRDefault="004D2C0E" w:rsidP="00AE1FA3">
      <w:pPr>
        <w:pStyle w:val="subclause1Bullet1"/>
      </w:pPr>
      <w:r>
        <w:t>to reflect changes in relevant laws and regulatory requirements</w:t>
      </w:r>
      <w:r w:rsidR="00602A13">
        <w:t>;</w:t>
      </w:r>
    </w:p>
    <w:p w14:paraId="18D30821" w14:textId="3978A21E" w:rsidR="00F00B1E" w:rsidRDefault="004D2C0E" w:rsidP="00AE1FA3">
      <w:pPr>
        <w:pStyle w:val="subclause1Bullet1"/>
      </w:pPr>
      <w:r>
        <w:t>to make minor technical adjustments and improvements, for example to address a security threat. These are changes that don't affect your use of the</w:t>
      </w:r>
      <w:r w:rsidR="00602A13">
        <w:t xml:space="preserve"> prouduct</w:t>
      </w:r>
      <w:r>
        <w:t>; and</w:t>
      </w:r>
    </w:p>
    <w:p w14:paraId="72EB8B5D" w14:textId="77777777" w:rsidR="00F00B1E" w:rsidRDefault="004D2C0E" w:rsidP="00AE1FA3">
      <w:pPr>
        <w:pStyle w:val="subclause1Bullet1"/>
      </w:pPr>
      <w:r>
        <w:t>to update digital content, provided that the digital content always matches the description of it that we provided to you before you bought it. We might ask you to install these updates.</w:t>
      </w:r>
    </w:p>
    <w:p w14:paraId="514E6386" w14:textId="1AC4C326" w:rsidR="00F00B1E" w:rsidRDefault="004D2C0E" w:rsidP="00AE1FA3">
      <w:pPr>
        <w:pStyle w:val="NoNumUntitledsubclause1"/>
      </w:pPr>
      <w:bookmarkStart w:id="38" w:name="a280058"/>
      <w:r>
        <w:rPr>
          <w:b/>
          <w:bCs/>
        </w:rPr>
        <w:t>Changes we can only make if we give you notice and an option to terminate</w:t>
      </w:r>
      <w:r>
        <w:t>. We can also make the following types of change to the product or these terms, but if we do so we'll notify you and you can then contact our Customer Service Team</w:t>
      </w:r>
      <w:r w:rsidR="003D7D44">
        <w:rPr>
          <w:highlight w:val="yellow"/>
        </w:rPr>
        <w:t xml:space="preserve"> </w:t>
      </w:r>
      <w:r w:rsidR="003D7D44">
        <w:t>[www.connecttrading/contact.co</w:t>
      </w:r>
      <w:r w:rsidR="003D7D44" w:rsidRPr="003D7D44">
        <w:t>.uk</w:t>
      </w:r>
      <w:r w:rsidRPr="003D7D44">
        <w:t>] to</w:t>
      </w:r>
      <w:r>
        <w:t xml:space="preserve"> end the contract before the change takes effect and receive a refund for any products you've paid for in advance, but won't receive:</w:t>
      </w:r>
      <w:bookmarkEnd w:id="38"/>
    </w:p>
    <w:p w14:paraId="474CE585" w14:textId="601F2292" w:rsidR="00F00B1E" w:rsidRDefault="00C437BC" w:rsidP="00AE1FA3">
      <w:pPr>
        <w:pStyle w:val="NoNumUntitledClause"/>
      </w:pPr>
      <w:r>
        <w:t xml:space="preserve">Changes in price of the membership. </w:t>
      </w:r>
    </w:p>
    <w:p w14:paraId="059C8175" w14:textId="12105FDA" w:rsidR="00C437BC" w:rsidRDefault="00C437BC" w:rsidP="00AE1FA3">
      <w:pPr>
        <w:pStyle w:val="NoNumUntitledClause"/>
      </w:pPr>
      <w:r>
        <w:t>Change of agreement.</w:t>
      </w:r>
    </w:p>
    <w:p w14:paraId="6C0DF0FC" w14:textId="77777777" w:rsidR="00F00B1E" w:rsidRDefault="004D2C0E" w:rsidP="00AE1FA3">
      <w:pPr>
        <w:pStyle w:val="NoNumTitle-Clause"/>
      </w:pPr>
      <w:bookmarkStart w:id="39" w:name="a466087"/>
      <w:r>
        <w:t xml:space="preserve">We can suspend supply (and you have rights if we do) </w:t>
      </w:r>
      <w:bookmarkEnd w:id="39"/>
    </w:p>
    <w:p w14:paraId="6DE2F34C" w14:textId="77777777" w:rsidR="00F00B1E" w:rsidRPr="00AA440C" w:rsidRDefault="004D2C0E" w:rsidP="00AE1FA3">
      <w:pPr>
        <w:pStyle w:val="NoNumUntitledsubclause1"/>
      </w:pPr>
      <w:bookmarkStart w:id="40" w:name="a624447"/>
      <w:r>
        <w:rPr>
          <w:b/>
          <w:bCs/>
        </w:rPr>
        <w:t>We can suspend the supply of a product.</w:t>
      </w:r>
      <w:r>
        <w:t xml:space="preserve"> We do this to:</w:t>
      </w:r>
      <w:bookmarkEnd w:id="40"/>
    </w:p>
    <w:p w14:paraId="369C9F46" w14:textId="77777777" w:rsidR="00F00B1E" w:rsidRDefault="004D2C0E" w:rsidP="00AE1FA3">
      <w:pPr>
        <w:pStyle w:val="subclause1Bullet1"/>
      </w:pPr>
      <w:r>
        <w:t>deal with technical problems or make minor technical changes;</w:t>
      </w:r>
    </w:p>
    <w:p w14:paraId="3197133A" w14:textId="77777777" w:rsidR="00F00B1E" w:rsidRDefault="004D2C0E" w:rsidP="00AE1FA3">
      <w:pPr>
        <w:pStyle w:val="subclause1Bullet1"/>
      </w:pPr>
      <w:r>
        <w:t>update the product to reflect changes in relevant laws and regulatory requirements; or</w:t>
      </w:r>
    </w:p>
    <w:p w14:paraId="0BC966E6" w14:textId="77777777" w:rsidR="00F00B1E" w:rsidRDefault="004D2C0E" w:rsidP="00AE1FA3">
      <w:pPr>
        <w:pStyle w:val="subclause1Bullet1"/>
      </w:pPr>
      <w:r>
        <w:lastRenderedPageBreak/>
        <w:t xml:space="preserve">make changes to the product (see </w:t>
      </w:r>
      <w:hyperlink w:anchor="a257752" w:history="1">
        <w:r>
          <w:rPr>
            <w:rStyle w:val="Hyperlink"/>
            <w:i w:val="0"/>
            <w:highlight w:val="lightGray"/>
            <w:u w:val="none"/>
          </w:rPr>
          <w:t>We can change products and these terms</w:t>
        </w:r>
      </w:hyperlink>
      <w:r>
        <w:t>).</w:t>
      </w:r>
    </w:p>
    <w:p w14:paraId="487D3C54" w14:textId="624FB29F" w:rsidR="00F00B1E" w:rsidRDefault="004D2C0E" w:rsidP="00AE1FA3">
      <w:pPr>
        <w:pStyle w:val="NoNumUntitledsubclause1"/>
      </w:pPr>
      <w:bookmarkStart w:id="41" w:name="a562037"/>
      <w:r>
        <w:rPr>
          <w:b/>
          <w:bCs/>
        </w:rPr>
        <w:t xml:space="preserve">We let you know, may adjust the price and may allow you to terminate. </w:t>
      </w:r>
      <w:r>
        <w:t>We contact you in advance to tell you we're suspending supply</w:t>
      </w:r>
      <w:r>
        <w:rPr>
          <w:b/>
          <w:bCs/>
        </w:rPr>
        <w:t xml:space="preserve">, </w:t>
      </w:r>
      <w:r>
        <w:t xml:space="preserve">unless the problem is urgent or an emergency. If we suspend the </w:t>
      </w:r>
      <w:r w:rsidRPr="00C437BC">
        <w:t>product [</w:t>
      </w:r>
      <w:r w:rsidR="00C437BC">
        <w:t xml:space="preserve">for longer than </w:t>
      </w:r>
      <w:r w:rsidR="00C437BC" w:rsidRPr="00C437BC">
        <w:t>1month</w:t>
      </w:r>
      <w:r w:rsidR="00C437BC">
        <w:t xml:space="preserve"> in any </w:t>
      </w:r>
      <w:r w:rsidR="00C437BC" w:rsidRPr="00C437BC">
        <w:t>3month</w:t>
      </w:r>
      <w:r w:rsidRPr="00C437BC">
        <w:t xml:space="preserve"> we adjust</w:t>
      </w:r>
      <w:r>
        <w:t xml:space="preserve"> the price so you don't pay for it while </w:t>
      </w:r>
      <w:r w:rsidR="00C437BC">
        <w:t>it’s</w:t>
      </w:r>
      <w:r>
        <w:t xml:space="preserve"> suspended. If we suspend supply, or tell you we're going to suspend supply, for more </w:t>
      </w:r>
      <w:r w:rsidR="00C437BC">
        <w:t xml:space="preserve">than 1 </w:t>
      </w:r>
      <w:r w:rsidR="00C437BC" w:rsidRPr="00C437BC">
        <w:t>month</w:t>
      </w:r>
      <w:r w:rsidRPr="00C437BC">
        <w:t xml:space="preserve"> you</w:t>
      </w:r>
      <w:r>
        <w:t xml:space="preserve"> can contact our Customer Service </w:t>
      </w:r>
      <w:r w:rsidRPr="00C437BC">
        <w:t>Team: [</w:t>
      </w:r>
      <w:r w:rsidR="00C437BC" w:rsidRPr="00C437BC">
        <w:t>www.connecttrading.co.uk</w:t>
      </w:r>
      <w:r w:rsidRPr="00C437BC">
        <w:t>] to</w:t>
      </w:r>
      <w:r>
        <w:t xml:space="preserve"> end the contract and we'll refund any sums you've paid in advance for products you won't receive.</w:t>
      </w:r>
      <w:bookmarkEnd w:id="41"/>
    </w:p>
    <w:p w14:paraId="078033E4" w14:textId="77777777" w:rsidR="00F00B1E" w:rsidRDefault="004D2C0E" w:rsidP="00AE1FA3">
      <w:pPr>
        <w:pStyle w:val="NoNumTitle-Clause"/>
      </w:pPr>
      <w:bookmarkStart w:id="42" w:name="a889796"/>
      <w:r>
        <w:t>We can withdraw products</w:t>
      </w:r>
      <w:bookmarkEnd w:id="42"/>
    </w:p>
    <w:p w14:paraId="5C536F58" w14:textId="7B24071A" w:rsidR="00F00B1E" w:rsidRDefault="004D2C0E" w:rsidP="00AE1FA3">
      <w:pPr>
        <w:pStyle w:val="NoNumUntitledsubclause1"/>
      </w:pPr>
      <w:bookmarkStart w:id="43" w:name="a588623"/>
      <w:r>
        <w:t>We can stop providing a product, such as an ongoing service or a subscription for digital content</w:t>
      </w:r>
      <w:r w:rsidR="00602A13">
        <w:t>.</w:t>
      </w:r>
      <w:r w:rsidR="00C437BC">
        <w:t xml:space="preserve"> We let you know at least 1 week</w:t>
      </w:r>
      <w:r>
        <w:t xml:space="preserve"> in advance and we refund any sums you've paid in advance for products which won't be provided.</w:t>
      </w:r>
      <w:bookmarkEnd w:id="43"/>
    </w:p>
    <w:p w14:paraId="07E361AF" w14:textId="77777777" w:rsidR="00F00B1E" w:rsidRDefault="004D2C0E" w:rsidP="00AE1FA3">
      <w:pPr>
        <w:pStyle w:val="NoNumTitle-Clause"/>
      </w:pPr>
      <w:bookmarkStart w:id="44" w:name="a552072"/>
      <w:r>
        <w:t>We can end our contract with you</w:t>
      </w:r>
      <w:bookmarkEnd w:id="44"/>
    </w:p>
    <w:p w14:paraId="39271A77" w14:textId="6E7B7E0E" w:rsidR="00F00B1E" w:rsidRPr="00822904" w:rsidRDefault="004D2C0E" w:rsidP="00AE1FA3">
      <w:pPr>
        <w:pStyle w:val="NoNumUntitledsubclause1"/>
        <w:rPr>
          <w:b/>
        </w:rPr>
      </w:pPr>
      <w:bookmarkStart w:id="45" w:name="a104811"/>
      <w:r>
        <w:t>We can end our contract with you for a product and claim any compensation due to us (including enforcement costs) if:</w:t>
      </w:r>
      <w:bookmarkEnd w:id="45"/>
    </w:p>
    <w:p w14:paraId="2C2F214C" w14:textId="42DE8A0B" w:rsidR="00F00B1E" w:rsidRPr="00822904" w:rsidRDefault="004D2C0E" w:rsidP="00AE1FA3">
      <w:pPr>
        <w:pStyle w:val="subclause1Bullet1"/>
      </w:pPr>
      <w:r>
        <w:t xml:space="preserve">you don't make any payment to us when it's due and you still don't make payment within </w:t>
      </w:r>
      <w:r w:rsidR="00C437BC" w:rsidRPr="00C437BC">
        <w:t>[2</w:t>
      </w:r>
      <w:r w:rsidRPr="00C437BC">
        <w:t>]</w:t>
      </w:r>
      <w:r>
        <w:t xml:space="preserve"> days of our reminding you that payment is due;</w:t>
      </w:r>
      <w:r w:rsidR="00602A13">
        <w:t xml:space="preserve"> or</w:t>
      </w:r>
    </w:p>
    <w:p w14:paraId="271D20D3" w14:textId="46F2EC02" w:rsidR="00F00B1E" w:rsidRDefault="004D2C0E" w:rsidP="00AE1FA3">
      <w:pPr>
        <w:pStyle w:val="subclause1Bullet1"/>
      </w:pPr>
      <w:r>
        <w:t>you don't, within a reasonable time of us asking for it, provide us with information, cooperation or access that we need to provide the product</w:t>
      </w:r>
      <w:r w:rsidR="00602A13">
        <w:t>.</w:t>
      </w:r>
    </w:p>
    <w:p w14:paraId="183F1281" w14:textId="77777777" w:rsidR="00F00B1E" w:rsidRDefault="004D2C0E" w:rsidP="00AE1FA3">
      <w:pPr>
        <w:pStyle w:val="NoNumTitle-Clause"/>
      </w:pPr>
      <w:bookmarkStart w:id="46" w:name="a685803"/>
      <w:r>
        <w:t>We don't compensate you for all losses caused by us or our products</w:t>
      </w:r>
      <w:bookmarkEnd w:id="46"/>
    </w:p>
    <w:p w14:paraId="46B59363" w14:textId="77777777" w:rsidR="00F00B1E" w:rsidRPr="00600E91" w:rsidRDefault="004D2C0E" w:rsidP="00AE1FA3">
      <w:pPr>
        <w:pStyle w:val="NoNumUntitledsubclause1"/>
      </w:pPr>
      <w:bookmarkStart w:id="47" w:name="a523132"/>
      <w:r>
        <w:rPr>
          <w:b/>
          <w:bCs/>
        </w:rPr>
        <w:t>Our liability to consumers</w:t>
      </w:r>
      <w:r>
        <w:t>. We're responsible for losses you suffer caused by us breaking this contract unless the loss is:</w:t>
      </w:r>
      <w:bookmarkEnd w:id="47"/>
    </w:p>
    <w:p w14:paraId="3EE42378" w14:textId="77777777" w:rsidR="00F00B1E" w:rsidRPr="00296E6F" w:rsidRDefault="004D2C0E" w:rsidP="00AE1FA3">
      <w:pPr>
        <w:pStyle w:val="subclause1Bullet1"/>
        <w:rPr>
          <w:b/>
          <w:bCs/>
        </w:rPr>
      </w:pPr>
      <w:r>
        <w:rPr>
          <w:b/>
          <w:bCs/>
        </w:rPr>
        <w:t>Unexpected</w:t>
      </w:r>
      <w:r>
        <w:t>. It was not obvious that it would happen and nothing you said to us before we accepted your order meant we should have expected it (so, in the law, the loss was unforeseeable).</w:t>
      </w:r>
    </w:p>
    <w:p w14:paraId="513178A7" w14:textId="77777777" w:rsidR="00F00B1E" w:rsidRPr="005207AE" w:rsidRDefault="004D2C0E" w:rsidP="00AE1FA3">
      <w:pPr>
        <w:pStyle w:val="subclause1Bullet1"/>
        <w:rPr>
          <w:b/>
          <w:bCs/>
        </w:rPr>
      </w:pPr>
      <w:r>
        <w:rPr>
          <w:b/>
          <w:bCs/>
        </w:rPr>
        <w:t>Caused by a delaying event outside our control</w:t>
      </w:r>
      <w:r>
        <w:t xml:space="preserve">. As long as we have taken the steps set out in the section </w:t>
      </w:r>
      <w:hyperlink w:anchor="a952379" w:history="1">
        <w:r>
          <w:rPr>
            <w:rStyle w:val="Hyperlink"/>
            <w:i w:val="0"/>
            <w:highlight w:val="lightGray"/>
            <w:u w:val="none"/>
          </w:rPr>
          <w:t>We're not responsible for delays outside our control</w:t>
        </w:r>
      </w:hyperlink>
      <w:r>
        <w:t xml:space="preserve">. </w:t>
      </w:r>
    </w:p>
    <w:p w14:paraId="71EE7223" w14:textId="77777777" w:rsidR="00F00B1E" w:rsidRPr="002F57E0" w:rsidRDefault="004D2C0E" w:rsidP="00AE1FA3">
      <w:pPr>
        <w:pStyle w:val="subclause1Bullet1"/>
      </w:pPr>
      <w:r>
        <w:rPr>
          <w:b/>
          <w:bCs/>
        </w:rPr>
        <w:t xml:space="preserve">Avoidable. </w:t>
      </w:r>
      <w:r>
        <w:t xml:space="preserve">Something you could have avoided by taking reasonable action. For example, damage to your own digital content or device, which was caused by digital content we supplied and which you could have avoided by following </w:t>
      </w:r>
      <w:r>
        <w:lastRenderedPageBreak/>
        <w:t>our advice to apply a free update or by correctly following the installation instructions or having the minimum system requirements advised by us.</w:t>
      </w:r>
    </w:p>
    <w:p w14:paraId="639D8FE4" w14:textId="77777777" w:rsidR="00F00B1E" w:rsidRDefault="004D2C0E" w:rsidP="00AE1FA3">
      <w:pPr>
        <w:pStyle w:val="subclause1Bullet1"/>
      </w:pPr>
      <w:r>
        <w:rPr>
          <w:b/>
          <w:bCs/>
        </w:rPr>
        <w:t>A business loss</w:t>
      </w:r>
      <w:r>
        <w:t xml:space="preserve">. Our liability for any loss you suffer in connection with your trade, business, craft or profession is limited, as described in </w:t>
      </w:r>
      <w:r w:rsidRPr="00F84946">
        <w:rPr>
          <w:i/>
        </w:rPr>
        <w:t>Your rights if you are a business</w:t>
      </w:r>
      <w:r>
        <w:t>.</w:t>
      </w:r>
    </w:p>
    <w:p w14:paraId="2EA5FC50" w14:textId="77777777" w:rsidR="00F00B1E" w:rsidRDefault="004D2C0E" w:rsidP="00AE1FA3">
      <w:pPr>
        <w:pStyle w:val="NoNumUntitledsubclause1"/>
      </w:pPr>
      <w:bookmarkStart w:id="48" w:name="a199327"/>
      <w:r>
        <w:rPr>
          <w:b/>
          <w:bCs/>
        </w:rPr>
        <w:t>Our liability to businesses</w:t>
      </w:r>
      <w:r>
        <w:t xml:space="preserve">. If you're a business, then, except in respect of the losses described in </w:t>
      </w:r>
      <w:r>
        <w:rPr>
          <w:i/>
          <w:noProof/>
        </w:rPr>
        <w:t>Losses we never limit or exclude</w:t>
      </w:r>
      <w:r>
        <w:t xml:space="preserve">: </w:t>
      </w:r>
      <w:bookmarkEnd w:id="48"/>
    </w:p>
    <w:p w14:paraId="30CD64C7" w14:textId="77777777" w:rsidR="00F00B1E" w:rsidRDefault="004D2C0E" w:rsidP="00AE1FA3">
      <w:pPr>
        <w:pStyle w:val="subclause1Bullet1"/>
      </w:pPr>
      <w:r>
        <w:t>we shall not be liable to you, whether in contract, tort (including negligence), breach of statutory duty, or otherwise, for any loss of profit, or any indirect or consequential loss arising under or in connection with any contract between us; and</w:t>
      </w:r>
    </w:p>
    <w:p w14:paraId="529FE65B" w14:textId="7642DB4B" w:rsidR="00F00B1E" w:rsidRDefault="004D2C0E" w:rsidP="00AE1FA3">
      <w:pPr>
        <w:pStyle w:val="subclause1Bullet1"/>
      </w:pPr>
      <w:r>
        <w:t>our total liability to you for all other losses arising under or in connection with any contract between us, whether in contract, tort (including negligence), breach of statutory duty, or otherwise, shall be limited to the total sums paid by you for products under such contract.</w:t>
      </w:r>
    </w:p>
    <w:p w14:paraId="5B551683" w14:textId="77777777" w:rsidR="00F00B1E" w:rsidRDefault="004D2C0E" w:rsidP="00AE1FA3">
      <w:pPr>
        <w:pStyle w:val="NoNumUntitledsubclause1"/>
      </w:pPr>
      <w:bookmarkStart w:id="49" w:name="a289270"/>
      <w:r>
        <w:rPr>
          <w:b/>
          <w:bCs/>
        </w:rPr>
        <w:t>Losses we never limit or exclude</w:t>
      </w:r>
      <w:r>
        <w:t>. Nothing in these terms shall limit or exclude our liability for:</w:t>
      </w:r>
      <w:bookmarkEnd w:id="49"/>
    </w:p>
    <w:p w14:paraId="6A4D772E" w14:textId="77777777" w:rsidR="00F00B1E" w:rsidRDefault="004D2C0E" w:rsidP="00AE1FA3">
      <w:pPr>
        <w:pStyle w:val="subclause1Bullet1"/>
      </w:pPr>
      <w:r>
        <w:t>death or personal injury caused by our negligence, or the negligence of our employees, agents or subcontractors (as applicable);</w:t>
      </w:r>
    </w:p>
    <w:p w14:paraId="38E20683" w14:textId="77777777" w:rsidR="00F00B1E" w:rsidRDefault="004D2C0E" w:rsidP="00AE1FA3">
      <w:pPr>
        <w:pStyle w:val="subclause1Bullet1"/>
      </w:pPr>
      <w:r>
        <w:t>fraud or fraudulent misrepresentation;</w:t>
      </w:r>
    </w:p>
    <w:p w14:paraId="5220B185" w14:textId="7DE3C82D" w:rsidR="00F00B1E" w:rsidRDefault="004D2C0E" w:rsidP="00AE1FA3">
      <w:pPr>
        <w:pStyle w:val="subclause1Bullet1"/>
      </w:pPr>
      <w:r>
        <w:t xml:space="preserve">breach of the terms implied by section 12 of the Sale of Goods Act 1979 or section 2 of the Supply of Goods and Services Act 1982; </w:t>
      </w:r>
    </w:p>
    <w:p w14:paraId="4B4724AA" w14:textId="16C62638" w:rsidR="00F00B1E" w:rsidRDefault="004D2C0E" w:rsidP="00AE1FA3">
      <w:pPr>
        <w:pStyle w:val="subclause1Bullet1"/>
      </w:pPr>
      <w:r>
        <w:t>defective products under the Consumer Protection Act 1987; or</w:t>
      </w:r>
    </w:p>
    <w:p w14:paraId="03567670" w14:textId="197F93DA" w:rsidR="00F00B1E" w:rsidRDefault="004D2C0E" w:rsidP="00AE1FA3">
      <w:pPr>
        <w:pStyle w:val="subclause1Bullet1"/>
      </w:pPr>
      <w:r>
        <w:t>any matter in respect of which it would be unlawful for us to exclude or restrict liability.</w:t>
      </w:r>
    </w:p>
    <w:p w14:paraId="51C4BF5A" w14:textId="77777777" w:rsidR="00F00B1E" w:rsidRDefault="004D2C0E" w:rsidP="00AE1FA3">
      <w:pPr>
        <w:pStyle w:val="NoNumTitle-Clause"/>
      </w:pPr>
      <w:bookmarkStart w:id="50" w:name="a182170"/>
      <w:r>
        <w:t>We use your personal data as set out in our Privacy Notice</w:t>
      </w:r>
      <w:bookmarkEnd w:id="50"/>
    </w:p>
    <w:p w14:paraId="03EDD1BD" w14:textId="18BD03DB" w:rsidR="00F00B1E" w:rsidRDefault="004D2C0E" w:rsidP="00AE1FA3">
      <w:pPr>
        <w:pStyle w:val="NoNumUntitledsubclause1"/>
      </w:pPr>
      <w:bookmarkStart w:id="51" w:name="a681346"/>
      <w:r>
        <w:t xml:space="preserve">How we use any personal data you give us is set out in our Privacy Notice: </w:t>
      </w:r>
      <w:r w:rsidRPr="00602A13">
        <w:rPr>
          <w:highlight w:val="yellow"/>
        </w:rPr>
        <w:t>[LINK TO PRIVACY NOTICE OR WEBSITE ADDRESS FOR PRIVACY NOTICE].</w:t>
      </w:r>
      <w:bookmarkEnd w:id="51"/>
    </w:p>
    <w:p w14:paraId="559404AB" w14:textId="77777777" w:rsidR="00F00B1E" w:rsidRDefault="004D2C0E" w:rsidP="00AE1FA3">
      <w:pPr>
        <w:pStyle w:val="NoNumTitle-Clause"/>
      </w:pPr>
      <w:bookmarkStart w:id="52" w:name="a281601"/>
      <w:r>
        <w:lastRenderedPageBreak/>
        <w:t>You have several options for resolving disputes with us</w:t>
      </w:r>
      <w:bookmarkEnd w:id="52"/>
    </w:p>
    <w:p w14:paraId="2A83F920" w14:textId="3411CC17" w:rsidR="00F00B1E" w:rsidRDefault="004D2C0E" w:rsidP="00AE1FA3">
      <w:pPr>
        <w:pStyle w:val="NoNumUntitledsubclause1"/>
      </w:pPr>
      <w:bookmarkStart w:id="53" w:name="a989509"/>
      <w:r>
        <w:rPr>
          <w:b/>
          <w:bCs/>
        </w:rPr>
        <w:t>Our complaints policy</w:t>
      </w:r>
      <w:r>
        <w:t xml:space="preserve">. Our Customer Service Team: </w:t>
      </w:r>
      <w:r w:rsidR="00C437BC">
        <w:t xml:space="preserve">www.connecttrading/contact.co.uk </w:t>
      </w:r>
      <w:r>
        <w:t>will do their best to resolve any problems you have with us or our products</w:t>
      </w:r>
      <w:bookmarkEnd w:id="53"/>
      <w:r w:rsidR="00602A13">
        <w:t>.</w:t>
      </w:r>
    </w:p>
    <w:p w14:paraId="23F914C6" w14:textId="64C40978" w:rsidR="00F00B1E" w:rsidRDefault="004D2C0E" w:rsidP="00AE1FA3">
      <w:pPr>
        <w:pStyle w:val="NoNumUntitledsubclause1"/>
      </w:pPr>
      <w:bookmarkStart w:id="54" w:name="a307878"/>
      <w:r>
        <w:rPr>
          <w:b/>
          <w:bCs/>
        </w:rPr>
        <w:t>Resolving disputes without going to court (consumers only)</w:t>
      </w:r>
      <w:r>
        <w:t xml:space="preserve">. Alternative dispute resolution is an optional process where an independent body considers the facts of a dispute and seeks to resolve it, without you having to go to court. You can submit a complaint to </w:t>
      </w:r>
      <w:hyperlink r:id="rId15" w:history="1">
        <w:r w:rsidR="00C437BC" w:rsidRPr="00C437BC">
          <w:rPr>
            <w:rStyle w:val="Hyperlink"/>
          </w:rPr>
          <w:t>info@</w:t>
        </w:r>
        <w:r w:rsidR="00C437BC" w:rsidRPr="005C2C83">
          <w:rPr>
            <w:rStyle w:val="Hyperlink"/>
          </w:rPr>
          <w:t>connecttrading.co.uk</w:t>
        </w:r>
      </w:hyperlink>
      <w:r w:rsidR="00C437BC">
        <w:t xml:space="preserve"> through their website at www.connecttrading.co.uk</w:t>
      </w:r>
      <w:r>
        <w:t xml:space="preserve"> If you're not satisfied with the outcome you can still go to court. </w:t>
      </w:r>
      <w:bookmarkEnd w:id="54"/>
    </w:p>
    <w:p w14:paraId="259EA2BC" w14:textId="77777777" w:rsidR="00F00B1E" w:rsidRDefault="004D2C0E" w:rsidP="00AE1FA3">
      <w:pPr>
        <w:pStyle w:val="NoNumUntitledsubclause1"/>
      </w:pPr>
      <w:bookmarkStart w:id="55" w:name="a639888"/>
      <w:r>
        <w:rPr>
          <w:b/>
          <w:bCs/>
        </w:rPr>
        <w:t xml:space="preserve">You can go to court. </w:t>
      </w:r>
      <w:r>
        <w:t>These terms are governed by English law. If you are a consumer then, wherever you live, you can bring claims against us in the English courts and if you live in Wales, Scotland or Northern Ireland, you can also bring claims against us in the courts of the country you live in. If you are a consumer we can claim against you in the courts of the country you live in. If you are a business you irrevocably agree to submit all disputes arising out of or in connection with our contract with you to the exclusive jurisdiction of the English courts.</w:t>
      </w:r>
      <w:bookmarkEnd w:id="55"/>
    </w:p>
    <w:p w14:paraId="51D5BF9E" w14:textId="77777777" w:rsidR="00F00B1E" w:rsidRDefault="004D2C0E" w:rsidP="00AE1FA3">
      <w:pPr>
        <w:pStyle w:val="NoNumTitle-Clause"/>
      </w:pPr>
      <w:bookmarkStart w:id="56" w:name="a702623"/>
      <w:r>
        <w:t>Other important terms apply to our contract</w:t>
      </w:r>
      <w:bookmarkEnd w:id="56"/>
    </w:p>
    <w:p w14:paraId="1024E884" w14:textId="3AAE74AB" w:rsidR="00F00B1E" w:rsidRDefault="004D2C0E" w:rsidP="00AE1FA3">
      <w:pPr>
        <w:pStyle w:val="NoNumUntitledsubclause1"/>
        <w:rPr>
          <w:b/>
        </w:rPr>
      </w:pPr>
      <w:bookmarkStart w:id="57" w:name="a173705"/>
      <w:r>
        <w:rPr>
          <w:b/>
          <w:bCs/>
        </w:rPr>
        <w:t>We can transfer our contract with you, so that a different organisation is responsible for supplying your product</w:t>
      </w:r>
      <w:r>
        <w:t>. We'll tell you in writing if this happens and if you are a consumer we'll ensure that the transfer won't affect your rights under the contract</w:t>
      </w:r>
      <w:r w:rsidR="00237AF7">
        <w:t>.</w:t>
      </w:r>
      <w:r>
        <w:t xml:space="preserve"> If you're a consumer and you're unhappy with the transfer you can cont</w:t>
      </w:r>
      <w:r w:rsidR="00C437BC">
        <w:t xml:space="preserve">act our Customer Service Team: www.connecttrading.co.uk/contact to end the contract within </w:t>
      </w:r>
      <w:r w:rsidR="00C437BC" w:rsidRPr="00C437BC">
        <w:t>5 working days</w:t>
      </w:r>
      <w:r>
        <w:t xml:space="preserve"> of us telling you about it and we will refund you any payments you've made in advance for products not provided.</w:t>
      </w:r>
      <w:bookmarkEnd w:id="57"/>
    </w:p>
    <w:p w14:paraId="72F8DACE" w14:textId="1CBE7CF9" w:rsidR="00F00B1E" w:rsidRDefault="004D2C0E" w:rsidP="00AE1FA3">
      <w:pPr>
        <w:pStyle w:val="NoNumUntitledsubclause1"/>
      </w:pPr>
      <w:bookmarkStart w:id="58" w:name="a787670"/>
      <w:r>
        <w:rPr>
          <w:b/>
          <w:bCs/>
        </w:rPr>
        <w:t>You can only transfer your contract with us to someone else if we agree to this</w:t>
      </w:r>
      <w:r>
        <w:t xml:space="preserve">. If you're </w:t>
      </w:r>
      <w:r w:rsidR="00C437BC">
        <w:t>a consumer we may not agree if you a</w:t>
      </w:r>
      <w:r w:rsidR="00CD08BB">
        <w:t>re at fault or we have not agreed</w:t>
      </w:r>
      <w:r>
        <w:t>. If you're a business you need our agreement to transfer your contract with us and it's entirely up to us whether we give it.</w:t>
      </w:r>
      <w:bookmarkEnd w:id="58"/>
    </w:p>
    <w:p w14:paraId="4FEEFC48" w14:textId="77777777" w:rsidR="00F00B1E" w:rsidRDefault="004D2C0E" w:rsidP="00AE1FA3">
      <w:pPr>
        <w:pStyle w:val="NoNumUntitledsubclause1"/>
      </w:pPr>
      <w:bookmarkStart w:id="59" w:name="a395405"/>
      <w:r>
        <w:rPr>
          <w:b/>
          <w:bCs/>
        </w:rPr>
        <w:t>Nobody else has any rights under this contract</w:t>
      </w:r>
      <w:r>
        <w:t>. This contract is between you and us. Nobody else can enforce it and neither of us will need to ask anybody else to sign-off on ending or changing it.</w:t>
      </w:r>
      <w:bookmarkEnd w:id="59"/>
    </w:p>
    <w:p w14:paraId="1E514248" w14:textId="77777777" w:rsidR="00F00B1E" w:rsidRPr="002E56ED" w:rsidRDefault="004D2C0E" w:rsidP="00AE1FA3">
      <w:pPr>
        <w:pStyle w:val="NoNumUntitledsubclause1"/>
      </w:pPr>
      <w:bookmarkStart w:id="60" w:name="a650795"/>
      <w:r>
        <w:rPr>
          <w:b/>
          <w:bCs/>
        </w:rPr>
        <w:t>If a court invalidates some of this contract, the rest of it will still apply</w:t>
      </w:r>
      <w:r>
        <w:t>. If a court or other authority decides that some of these terms are unlawful, the rest will continue to apply.</w:t>
      </w:r>
      <w:bookmarkEnd w:id="60"/>
    </w:p>
    <w:p w14:paraId="2E687BC1" w14:textId="77777777" w:rsidR="00F00B1E" w:rsidRDefault="004D2C0E" w:rsidP="00AE1FA3">
      <w:pPr>
        <w:pStyle w:val="NoNumUntitledsubclause1"/>
        <w:rPr>
          <w:b/>
        </w:rPr>
      </w:pPr>
      <w:bookmarkStart w:id="61" w:name="a922171"/>
      <w:r>
        <w:rPr>
          <w:b/>
          <w:bCs/>
        </w:rPr>
        <w:lastRenderedPageBreak/>
        <w:t>Even if we delay in enforcing this contract, we can still enforce it later</w:t>
      </w:r>
      <w:r>
        <w:t>. We might not immediately chase you for not doing something (like paying) or for doing something you're not allowed to, but that doesn’t mean we can't do it later.</w:t>
      </w:r>
      <w:bookmarkEnd w:id="61"/>
    </w:p>
    <w:p w14:paraId="79606C68" w14:textId="77777777" w:rsidR="00F00B1E" w:rsidRDefault="00F00B1E" w:rsidP="00AE1FA3">
      <w:pPr>
        <w:pStyle w:val="DescriptiveHeading"/>
      </w:pPr>
    </w:p>
    <w:sectPr w:rsidR="00F00B1E">
      <w:footerReference w:type="default" r:id="rId16"/>
      <w:pgSz w:w="12240" w:h="15840"/>
      <w:pgMar w:top="1440" w:right="144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5" w:author="Katie Chason" w:date="2024-01-24T14:57:00Z" w:initials="KC">
    <w:p w14:paraId="3D53BB37" w14:textId="77777777" w:rsidR="003348E0" w:rsidRDefault="003348E0" w:rsidP="003348E0">
      <w:pPr>
        <w:pStyle w:val="CommentText"/>
      </w:pPr>
      <w:r>
        <w:rPr>
          <w:rStyle w:val="CommentReference"/>
        </w:rPr>
        <w:annotationRef/>
      </w:r>
      <w:r>
        <w:t>Will services be sold any other way?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D53BB3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38EED2F" w16cex:dateUtc="2024-01-24T14:5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D53BB37" w16cid:durableId="338EED2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8417EF" w14:textId="77777777" w:rsidR="00D93085" w:rsidRDefault="00D93085">
      <w:pPr>
        <w:spacing w:after="0" w:line="240" w:lineRule="auto"/>
      </w:pPr>
      <w:r>
        <w:separator/>
      </w:r>
    </w:p>
  </w:endnote>
  <w:endnote w:type="continuationSeparator" w:id="0">
    <w:p w14:paraId="69934A02" w14:textId="77777777" w:rsidR="00D93085" w:rsidRDefault="00D930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BABB5" w14:textId="77777777" w:rsidR="006658D9" w:rsidRDefault="004D2C0E">
    <w:pPr>
      <w:jc w:val="center"/>
    </w:pPr>
    <w:r>
      <w:fldChar w:fldCharType="begin"/>
    </w:r>
    <w:r>
      <w:instrText>PAGE</w:instrText>
    </w:r>
    <w:r>
      <w:fldChar w:fldCharType="separate"/>
    </w:r>
    <w:r w:rsidR="00EC1EC1">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AE052C" w14:textId="77777777" w:rsidR="00D93085" w:rsidRDefault="00D93085">
      <w:pPr>
        <w:spacing w:after="0" w:line="240" w:lineRule="auto"/>
      </w:pPr>
      <w:r>
        <w:separator/>
      </w:r>
    </w:p>
  </w:footnote>
  <w:footnote w:type="continuationSeparator" w:id="0">
    <w:p w14:paraId="2D222F2F" w14:textId="77777777" w:rsidR="00D93085" w:rsidRDefault="00D9308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9A4F02"/>
    <w:lvl w:ilvl="0">
      <w:start w:val="1"/>
      <w:numFmt w:val="decimal"/>
      <w:lvlText w:val="%1."/>
      <w:lvlJc w:val="left"/>
      <w:pPr>
        <w:tabs>
          <w:tab w:val="num" w:pos="1492"/>
        </w:tabs>
        <w:ind w:left="1492" w:hanging="360"/>
      </w:pPr>
      <w:rPr>
        <w:color w:val="000000"/>
      </w:rPr>
    </w:lvl>
  </w:abstractNum>
  <w:abstractNum w:abstractNumId="1" w15:restartNumberingAfterBreak="0">
    <w:nsid w:val="FFFFFF7D"/>
    <w:multiLevelType w:val="singleLevel"/>
    <w:tmpl w:val="C6E601EA"/>
    <w:lvl w:ilvl="0">
      <w:start w:val="1"/>
      <w:numFmt w:val="decimal"/>
      <w:lvlText w:val="%1."/>
      <w:lvlJc w:val="left"/>
      <w:pPr>
        <w:tabs>
          <w:tab w:val="num" w:pos="1209"/>
        </w:tabs>
        <w:ind w:left="1209" w:hanging="360"/>
      </w:pPr>
      <w:rPr>
        <w:color w:val="000000"/>
      </w:rPr>
    </w:lvl>
  </w:abstractNum>
  <w:abstractNum w:abstractNumId="2" w15:restartNumberingAfterBreak="0">
    <w:nsid w:val="FFFFFF7E"/>
    <w:multiLevelType w:val="singleLevel"/>
    <w:tmpl w:val="34DC4BC2"/>
    <w:lvl w:ilvl="0">
      <w:start w:val="1"/>
      <w:numFmt w:val="decimal"/>
      <w:lvlText w:val="%1."/>
      <w:lvlJc w:val="left"/>
      <w:pPr>
        <w:tabs>
          <w:tab w:val="num" w:pos="926"/>
        </w:tabs>
        <w:ind w:left="926" w:hanging="360"/>
      </w:pPr>
      <w:rPr>
        <w:color w:val="000000"/>
      </w:rPr>
    </w:lvl>
  </w:abstractNum>
  <w:abstractNum w:abstractNumId="3" w15:restartNumberingAfterBreak="0">
    <w:nsid w:val="FFFFFF7F"/>
    <w:multiLevelType w:val="singleLevel"/>
    <w:tmpl w:val="43686E84"/>
    <w:lvl w:ilvl="0">
      <w:start w:val="1"/>
      <w:numFmt w:val="decimal"/>
      <w:lvlText w:val="%1."/>
      <w:lvlJc w:val="left"/>
      <w:pPr>
        <w:tabs>
          <w:tab w:val="num" w:pos="643"/>
        </w:tabs>
        <w:ind w:left="643" w:hanging="360"/>
      </w:pPr>
      <w:rPr>
        <w:color w:val="000000"/>
      </w:rPr>
    </w:lvl>
  </w:abstractNum>
  <w:abstractNum w:abstractNumId="4" w15:restartNumberingAfterBreak="0">
    <w:nsid w:val="FFFFFF80"/>
    <w:multiLevelType w:val="singleLevel"/>
    <w:tmpl w:val="0D92DB3C"/>
    <w:lvl w:ilvl="0">
      <w:start w:val="1"/>
      <w:numFmt w:val="bullet"/>
      <w:lvlText w:val=""/>
      <w:lvlJc w:val="left"/>
      <w:pPr>
        <w:tabs>
          <w:tab w:val="num" w:pos="1492"/>
        </w:tabs>
        <w:ind w:left="1492" w:hanging="360"/>
      </w:pPr>
      <w:rPr>
        <w:rFonts w:ascii="Symbol" w:hAnsi="Symbol" w:hint="default"/>
        <w:color w:val="000000"/>
      </w:rPr>
    </w:lvl>
  </w:abstractNum>
  <w:abstractNum w:abstractNumId="5" w15:restartNumberingAfterBreak="0">
    <w:nsid w:val="FFFFFF81"/>
    <w:multiLevelType w:val="singleLevel"/>
    <w:tmpl w:val="85F44696"/>
    <w:lvl w:ilvl="0">
      <w:start w:val="1"/>
      <w:numFmt w:val="bullet"/>
      <w:lvlText w:val=""/>
      <w:lvlJc w:val="left"/>
      <w:pPr>
        <w:tabs>
          <w:tab w:val="num" w:pos="1209"/>
        </w:tabs>
        <w:ind w:left="1209" w:hanging="360"/>
      </w:pPr>
      <w:rPr>
        <w:rFonts w:ascii="Symbol" w:hAnsi="Symbol" w:hint="default"/>
        <w:color w:val="000000"/>
      </w:rPr>
    </w:lvl>
  </w:abstractNum>
  <w:abstractNum w:abstractNumId="6" w15:restartNumberingAfterBreak="0">
    <w:nsid w:val="FFFFFF82"/>
    <w:multiLevelType w:val="singleLevel"/>
    <w:tmpl w:val="F080F8D4"/>
    <w:lvl w:ilvl="0">
      <w:start w:val="1"/>
      <w:numFmt w:val="bullet"/>
      <w:lvlText w:val=""/>
      <w:lvlJc w:val="left"/>
      <w:pPr>
        <w:tabs>
          <w:tab w:val="num" w:pos="926"/>
        </w:tabs>
        <w:ind w:left="926" w:hanging="360"/>
      </w:pPr>
      <w:rPr>
        <w:rFonts w:ascii="Symbol" w:hAnsi="Symbol" w:hint="default"/>
        <w:color w:val="000000"/>
      </w:rPr>
    </w:lvl>
  </w:abstractNum>
  <w:abstractNum w:abstractNumId="7" w15:restartNumberingAfterBreak="0">
    <w:nsid w:val="FFFFFF83"/>
    <w:multiLevelType w:val="singleLevel"/>
    <w:tmpl w:val="12942782"/>
    <w:lvl w:ilvl="0">
      <w:start w:val="1"/>
      <w:numFmt w:val="bullet"/>
      <w:lvlText w:val=""/>
      <w:lvlJc w:val="left"/>
      <w:pPr>
        <w:tabs>
          <w:tab w:val="num" w:pos="643"/>
        </w:tabs>
        <w:ind w:left="643" w:hanging="360"/>
      </w:pPr>
      <w:rPr>
        <w:rFonts w:ascii="Symbol" w:hAnsi="Symbol" w:hint="default"/>
        <w:color w:val="000000"/>
      </w:rPr>
    </w:lvl>
  </w:abstractNum>
  <w:abstractNum w:abstractNumId="8" w15:restartNumberingAfterBreak="0">
    <w:nsid w:val="FFFFFF88"/>
    <w:multiLevelType w:val="singleLevel"/>
    <w:tmpl w:val="BAF24A50"/>
    <w:lvl w:ilvl="0">
      <w:start w:val="1"/>
      <w:numFmt w:val="decimal"/>
      <w:lvlText w:val="%1."/>
      <w:lvlJc w:val="left"/>
      <w:pPr>
        <w:tabs>
          <w:tab w:val="num" w:pos="360"/>
        </w:tabs>
        <w:ind w:left="360" w:hanging="360"/>
      </w:pPr>
      <w:rPr>
        <w:color w:val="000000"/>
      </w:rPr>
    </w:lvl>
  </w:abstractNum>
  <w:abstractNum w:abstractNumId="9" w15:restartNumberingAfterBreak="0">
    <w:nsid w:val="FFFFFF89"/>
    <w:multiLevelType w:val="singleLevel"/>
    <w:tmpl w:val="0D0CEAF4"/>
    <w:lvl w:ilvl="0">
      <w:start w:val="1"/>
      <w:numFmt w:val="bullet"/>
      <w:lvlText w:val=""/>
      <w:lvlJc w:val="left"/>
      <w:pPr>
        <w:tabs>
          <w:tab w:val="num" w:pos="360"/>
        </w:tabs>
        <w:ind w:left="360" w:hanging="360"/>
      </w:pPr>
      <w:rPr>
        <w:rFonts w:ascii="Symbol" w:hAnsi="Symbol" w:hint="default"/>
        <w:color w:val="000000"/>
      </w:rPr>
    </w:lvl>
  </w:abstractNum>
  <w:abstractNum w:abstractNumId="10" w15:restartNumberingAfterBreak="0">
    <w:nsid w:val="02814D04"/>
    <w:multiLevelType w:val="multilevel"/>
    <w:tmpl w:val="E6D621B4"/>
    <w:lvl w:ilvl="0">
      <w:start w:val="1"/>
      <w:numFmt w:val="decimal"/>
      <w:pStyle w:val="TitleClause"/>
      <w:lvlText w:val="%1."/>
      <w:lvlJc w:val="left"/>
      <w:pPr>
        <w:tabs>
          <w:tab w:val="num" w:pos="720"/>
        </w:tabs>
        <w:ind w:left="720" w:hanging="720"/>
      </w:pPr>
      <w:rPr>
        <w:rFonts w:hint="default"/>
        <w:color w:val="000000"/>
      </w:rPr>
    </w:lvl>
    <w:lvl w:ilvl="1">
      <w:start w:val="1"/>
      <w:numFmt w:val="decimal"/>
      <w:pStyle w:val="Untitledsubclause1"/>
      <w:lvlText w:val="%1.%2"/>
      <w:lvlJc w:val="left"/>
      <w:pPr>
        <w:tabs>
          <w:tab w:val="num" w:pos="720"/>
        </w:tabs>
        <w:ind w:left="720" w:hanging="720"/>
      </w:pPr>
      <w:rPr>
        <w:rFonts w:hint="default"/>
      </w:rPr>
    </w:lvl>
    <w:lvl w:ilvl="2">
      <w:start w:val="1"/>
      <w:numFmt w:val="lowerLetter"/>
      <w:pStyle w:val="Untitledsubclause2"/>
      <w:lvlText w:val="(%3)"/>
      <w:lvlJc w:val="left"/>
      <w:pPr>
        <w:tabs>
          <w:tab w:val="num" w:pos="1555"/>
        </w:tabs>
        <w:ind w:left="1555" w:hanging="561"/>
      </w:pPr>
      <w:rPr>
        <w:rFonts w:hint="default"/>
      </w:rPr>
    </w:lvl>
    <w:lvl w:ilvl="3">
      <w:start w:val="1"/>
      <w:numFmt w:val="lowerRoman"/>
      <w:pStyle w:val="Untitledsubclause3"/>
      <w:lvlText w:val="(%4)"/>
      <w:lvlJc w:val="left"/>
      <w:pPr>
        <w:tabs>
          <w:tab w:val="num" w:pos="2419"/>
        </w:tabs>
        <w:ind w:left="2275" w:hanging="576"/>
      </w:pPr>
      <w:rPr>
        <w:rFonts w:hint="default"/>
        <w:sz w:val="20"/>
      </w:rPr>
    </w:lvl>
    <w:lvl w:ilvl="4">
      <w:start w:val="1"/>
      <w:numFmt w:val="upperLetter"/>
      <w:pStyle w:val="Untitledsubclause4"/>
      <w:lvlText w:val="(%5)"/>
      <w:lvlJc w:val="left"/>
      <w:pPr>
        <w:tabs>
          <w:tab w:val="num" w:pos="2880"/>
        </w:tabs>
        <w:ind w:left="288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7253412"/>
    <w:multiLevelType w:val="hybridMultilevel"/>
    <w:tmpl w:val="960CC850"/>
    <w:lvl w:ilvl="0" w:tplc="C4C08EF8">
      <w:start w:val="1"/>
      <w:numFmt w:val="bullet"/>
      <w:pStyle w:val="DefinedTermBullet"/>
      <w:lvlText w:val=""/>
      <w:lvlJc w:val="left"/>
      <w:pPr>
        <w:ind w:left="1440" w:hanging="360"/>
      </w:pPr>
      <w:rPr>
        <w:rFonts w:ascii="Symbol" w:hAnsi="Symbol" w:hint="default"/>
        <w:color w:val="000000"/>
      </w:rPr>
    </w:lvl>
    <w:lvl w:ilvl="1" w:tplc="542EEBF4" w:tentative="1">
      <w:start w:val="1"/>
      <w:numFmt w:val="bullet"/>
      <w:lvlText w:val="o"/>
      <w:lvlJc w:val="left"/>
      <w:pPr>
        <w:ind w:left="2160" w:hanging="360"/>
      </w:pPr>
      <w:rPr>
        <w:rFonts w:ascii="Courier New" w:hAnsi="Courier New" w:cs="Courier New" w:hint="default"/>
      </w:rPr>
    </w:lvl>
    <w:lvl w:ilvl="2" w:tplc="87D8F9F4" w:tentative="1">
      <w:start w:val="1"/>
      <w:numFmt w:val="bullet"/>
      <w:lvlText w:val=""/>
      <w:lvlJc w:val="left"/>
      <w:pPr>
        <w:ind w:left="2880" w:hanging="360"/>
      </w:pPr>
      <w:rPr>
        <w:rFonts w:ascii="Wingdings" w:hAnsi="Wingdings" w:hint="default"/>
      </w:rPr>
    </w:lvl>
    <w:lvl w:ilvl="3" w:tplc="928A1DD6" w:tentative="1">
      <w:start w:val="1"/>
      <w:numFmt w:val="bullet"/>
      <w:lvlText w:val=""/>
      <w:lvlJc w:val="left"/>
      <w:pPr>
        <w:ind w:left="3600" w:hanging="360"/>
      </w:pPr>
      <w:rPr>
        <w:rFonts w:ascii="Symbol" w:hAnsi="Symbol" w:hint="default"/>
      </w:rPr>
    </w:lvl>
    <w:lvl w:ilvl="4" w:tplc="EC6EBAFC" w:tentative="1">
      <w:start w:val="1"/>
      <w:numFmt w:val="bullet"/>
      <w:lvlText w:val="o"/>
      <w:lvlJc w:val="left"/>
      <w:pPr>
        <w:ind w:left="4320" w:hanging="360"/>
      </w:pPr>
      <w:rPr>
        <w:rFonts w:ascii="Courier New" w:hAnsi="Courier New" w:cs="Courier New" w:hint="default"/>
      </w:rPr>
    </w:lvl>
    <w:lvl w:ilvl="5" w:tplc="001A22BA" w:tentative="1">
      <w:start w:val="1"/>
      <w:numFmt w:val="bullet"/>
      <w:lvlText w:val=""/>
      <w:lvlJc w:val="left"/>
      <w:pPr>
        <w:ind w:left="5040" w:hanging="360"/>
      </w:pPr>
      <w:rPr>
        <w:rFonts w:ascii="Wingdings" w:hAnsi="Wingdings" w:hint="default"/>
      </w:rPr>
    </w:lvl>
    <w:lvl w:ilvl="6" w:tplc="97308848" w:tentative="1">
      <w:start w:val="1"/>
      <w:numFmt w:val="bullet"/>
      <w:lvlText w:val=""/>
      <w:lvlJc w:val="left"/>
      <w:pPr>
        <w:ind w:left="5760" w:hanging="360"/>
      </w:pPr>
      <w:rPr>
        <w:rFonts w:ascii="Symbol" w:hAnsi="Symbol" w:hint="default"/>
      </w:rPr>
    </w:lvl>
    <w:lvl w:ilvl="7" w:tplc="DC52C2FE" w:tentative="1">
      <w:start w:val="1"/>
      <w:numFmt w:val="bullet"/>
      <w:lvlText w:val="o"/>
      <w:lvlJc w:val="left"/>
      <w:pPr>
        <w:ind w:left="6480" w:hanging="360"/>
      </w:pPr>
      <w:rPr>
        <w:rFonts w:ascii="Courier New" w:hAnsi="Courier New" w:cs="Courier New" w:hint="default"/>
      </w:rPr>
    </w:lvl>
    <w:lvl w:ilvl="8" w:tplc="04CEBEC8" w:tentative="1">
      <w:start w:val="1"/>
      <w:numFmt w:val="bullet"/>
      <w:lvlText w:val=""/>
      <w:lvlJc w:val="left"/>
      <w:pPr>
        <w:ind w:left="7200" w:hanging="360"/>
      </w:pPr>
      <w:rPr>
        <w:rFonts w:ascii="Wingdings" w:hAnsi="Wingdings" w:hint="default"/>
      </w:rPr>
    </w:lvl>
  </w:abstractNum>
  <w:abstractNum w:abstractNumId="12" w15:restartNumberingAfterBreak="0">
    <w:nsid w:val="07D059AD"/>
    <w:multiLevelType w:val="hybridMultilevel"/>
    <w:tmpl w:val="340AB914"/>
    <w:lvl w:ilvl="0" w:tplc="7B60A5C0">
      <w:start w:val="1"/>
      <w:numFmt w:val="lowerLetter"/>
      <w:lvlText w:val="%1)"/>
      <w:lvlJc w:val="left"/>
      <w:pPr>
        <w:ind w:left="1714" w:hanging="360"/>
      </w:pPr>
      <w:rPr>
        <w:color w:val="000000"/>
      </w:rPr>
    </w:lvl>
    <w:lvl w:ilvl="1" w:tplc="32647D2A" w:tentative="1">
      <w:start w:val="1"/>
      <w:numFmt w:val="lowerLetter"/>
      <w:lvlText w:val="%2."/>
      <w:lvlJc w:val="left"/>
      <w:pPr>
        <w:ind w:left="2434" w:hanging="360"/>
      </w:pPr>
    </w:lvl>
    <w:lvl w:ilvl="2" w:tplc="30B8548A" w:tentative="1">
      <w:start w:val="1"/>
      <w:numFmt w:val="lowerRoman"/>
      <w:lvlText w:val="%3."/>
      <w:lvlJc w:val="right"/>
      <w:pPr>
        <w:ind w:left="3154" w:hanging="180"/>
      </w:pPr>
    </w:lvl>
    <w:lvl w:ilvl="3" w:tplc="92AC7542" w:tentative="1">
      <w:start w:val="1"/>
      <w:numFmt w:val="decimal"/>
      <w:lvlText w:val="%4."/>
      <w:lvlJc w:val="left"/>
      <w:pPr>
        <w:ind w:left="3874" w:hanging="360"/>
      </w:pPr>
    </w:lvl>
    <w:lvl w:ilvl="4" w:tplc="F2A6957A" w:tentative="1">
      <w:start w:val="1"/>
      <w:numFmt w:val="lowerLetter"/>
      <w:lvlText w:val="%5."/>
      <w:lvlJc w:val="left"/>
      <w:pPr>
        <w:ind w:left="4594" w:hanging="360"/>
      </w:pPr>
    </w:lvl>
    <w:lvl w:ilvl="5" w:tplc="E884CC78" w:tentative="1">
      <w:start w:val="1"/>
      <w:numFmt w:val="lowerRoman"/>
      <w:lvlText w:val="%6."/>
      <w:lvlJc w:val="right"/>
      <w:pPr>
        <w:ind w:left="5314" w:hanging="180"/>
      </w:pPr>
    </w:lvl>
    <w:lvl w:ilvl="6" w:tplc="A7FAC7C6" w:tentative="1">
      <w:start w:val="1"/>
      <w:numFmt w:val="decimal"/>
      <w:lvlText w:val="%7."/>
      <w:lvlJc w:val="left"/>
      <w:pPr>
        <w:ind w:left="6034" w:hanging="360"/>
      </w:pPr>
    </w:lvl>
    <w:lvl w:ilvl="7" w:tplc="7958A3A8" w:tentative="1">
      <w:start w:val="1"/>
      <w:numFmt w:val="lowerLetter"/>
      <w:lvlText w:val="%8."/>
      <w:lvlJc w:val="left"/>
      <w:pPr>
        <w:ind w:left="6754" w:hanging="360"/>
      </w:pPr>
    </w:lvl>
    <w:lvl w:ilvl="8" w:tplc="D06C456E" w:tentative="1">
      <w:start w:val="1"/>
      <w:numFmt w:val="lowerRoman"/>
      <w:lvlText w:val="%9."/>
      <w:lvlJc w:val="right"/>
      <w:pPr>
        <w:ind w:left="7474" w:hanging="180"/>
      </w:pPr>
    </w:lvl>
  </w:abstractNum>
  <w:abstractNum w:abstractNumId="13" w15:restartNumberingAfterBreak="0">
    <w:nsid w:val="0DEB2104"/>
    <w:multiLevelType w:val="multilevel"/>
    <w:tmpl w:val="26B41F5A"/>
    <w:lvl w:ilvl="0">
      <w:start w:val="1"/>
      <w:numFmt w:val="decimal"/>
      <w:lvlText w:val="Schedule %1"/>
      <w:lvlJc w:val="left"/>
      <w:pPr>
        <w:ind w:left="360" w:hanging="360"/>
      </w:pPr>
      <w:rPr>
        <w:rFonts w:hint="default"/>
        <w:color w:val="000000"/>
        <w:lang w:val="en-GB"/>
      </w:rPr>
    </w:lvl>
    <w:lvl w:ilvl="1">
      <w:start w:val="1"/>
      <w:numFmt w:val="decimal"/>
      <w:lvlText w:val="Part %2"/>
      <w:lvlJc w:val="left"/>
      <w:pPr>
        <w:ind w:left="357" w:hanging="357"/>
      </w:pPr>
      <w:rPr>
        <w:rFonts w:hint="default"/>
      </w:rPr>
    </w:lvl>
    <w:lvl w:ilvl="2">
      <w:start w:val="1"/>
      <w:numFmt w:val="decimal"/>
      <w:lvlText w:val="%3."/>
      <w:lvlJc w:val="left"/>
      <w:pPr>
        <w:ind w:left="357" w:hanging="357"/>
      </w:pPr>
      <w:rPr>
        <w:rFonts w:hint="default"/>
      </w:rPr>
    </w:lvl>
    <w:lvl w:ilvl="3">
      <w:start w:val="1"/>
      <w:numFmt w:val="decimal"/>
      <w:lvlRestart w:val="2"/>
      <w:lvlText w:val="%3.%4"/>
      <w:lvlJc w:val="left"/>
      <w:pPr>
        <w:tabs>
          <w:tab w:val="num" w:pos="357"/>
        </w:tabs>
        <w:ind w:left="357" w:hanging="357"/>
      </w:pPr>
      <w:rPr>
        <w:rFonts w:hint="default"/>
      </w:rPr>
    </w:lvl>
    <w:lvl w:ilvl="4">
      <w:start w:val="1"/>
      <w:numFmt w:val="lowerLetter"/>
      <w:lvlText w:val="(%5)"/>
      <w:lvlJc w:val="left"/>
      <w:pPr>
        <w:ind w:left="1775" w:hanging="703"/>
      </w:pPr>
      <w:rPr>
        <w:rFonts w:hint="default"/>
      </w:rPr>
    </w:lvl>
    <w:lvl w:ilvl="5">
      <w:start w:val="1"/>
      <w:numFmt w:val="lowerRoman"/>
      <w:lvlText w:val="(%6)"/>
      <w:lvlJc w:val="left"/>
      <w:pPr>
        <w:ind w:left="2381" w:hanging="60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1825EA9"/>
    <w:multiLevelType w:val="multilevel"/>
    <w:tmpl w:val="B5EA651E"/>
    <w:lvl w:ilvl="0">
      <w:start w:val="1"/>
      <w:numFmt w:val="decimal"/>
      <w:pStyle w:val="Schedule"/>
      <w:lvlText w:val="Schedule %1"/>
      <w:lvlJc w:val="left"/>
      <w:pPr>
        <w:ind w:left="360" w:hanging="360"/>
      </w:pPr>
      <w:rPr>
        <w:rFonts w:hint="default"/>
        <w:color w:val="000000"/>
      </w:rPr>
    </w:lvl>
    <w:lvl w:ilvl="1">
      <w:start w:val="1"/>
      <w:numFmt w:val="decimal"/>
      <w:pStyle w:val="Part"/>
      <w:lvlText w:val="Part %2"/>
      <w:lvlJc w:val="left"/>
      <w:pPr>
        <w:ind w:left="357" w:hanging="357"/>
      </w:pPr>
      <w:rPr>
        <w:rFonts w:hint="default"/>
      </w:rPr>
    </w:lvl>
    <w:lvl w:ilvl="2">
      <w:start w:val="1"/>
      <w:numFmt w:val="decimal"/>
      <w:pStyle w:val="ScheduleTitleClause"/>
      <w:lvlText w:val="%3."/>
      <w:lvlJc w:val="left"/>
      <w:pPr>
        <w:tabs>
          <w:tab w:val="num" w:pos="720"/>
        </w:tabs>
        <w:ind w:left="720" w:hanging="720"/>
      </w:pPr>
      <w:rPr>
        <w:rFonts w:hint="default"/>
      </w:rPr>
    </w:lvl>
    <w:lvl w:ilvl="3">
      <w:start w:val="1"/>
      <w:numFmt w:val="decimal"/>
      <w:pStyle w:val="ScheduleUntitledsubclause1"/>
      <w:lvlText w:val="%3.%4"/>
      <w:lvlJc w:val="left"/>
      <w:pPr>
        <w:tabs>
          <w:tab w:val="num" w:pos="720"/>
        </w:tabs>
        <w:ind w:left="720" w:hanging="720"/>
      </w:pPr>
      <w:rPr>
        <w:rFonts w:hint="default"/>
      </w:rPr>
    </w:lvl>
    <w:lvl w:ilvl="4">
      <w:start w:val="1"/>
      <w:numFmt w:val="lowerLetter"/>
      <w:pStyle w:val="ScheduleUntitledsubclause2"/>
      <w:lvlText w:val="(%5)"/>
      <w:lvlJc w:val="left"/>
      <w:pPr>
        <w:tabs>
          <w:tab w:val="num" w:pos="1555"/>
        </w:tabs>
        <w:ind w:left="1555" w:hanging="561"/>
      </w:pPr>
      <w:rPr>
        <w:rFonts w:hint="default"/>
      </w:rPr>
    </w:lvl>
    <w:lvl w:ilvl="5">
      <w:start w:val="1"/>
      <w:numFmt w:val="lowerRoman"/>
      <w:pStyle w:val="ScheduleUntitledsubclause3"/>
      <w:lvlText w:val="(%6)"/>
      <w:lvlJc w:val="left"/>
      <w:pPr>
        <w:tabs>
          <w:tab w:val="num" w:pos="2419"/>
        </w:tabs>
        <w:ind w:left="2275" w:hanging="576"/>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164E63F9"/>
    <w:multiLevelType w:val="hybridMultilevel"/>
    <w:tmpl w:val="F9EEB024"/>
    <w:lvl w:ilvl="0" w:tplc="C20E0FF0">
      <w:start w:val="1"/>
      <w:numFmt w:val="decimal"/>
      <w:lvlText w:val="Schedule %1"/>
      <w:lvlJc w:val="left"/>
      <w:pPr>
        <w:ind w:left="720" w:hanging="360"/>
      </w:pPr>
      <w:rPr>
        <w:rFonts w:hint="default"/>
        <w:color w:val="000000"/>
      </w:rPr>
    </w:lvl>
    <w:lvl w:ilvl="1" w:tplc="E20207EA" w:tentative="1">
      <w:start w:val="1"/>
      <w:numFmt w:val="lowerLetter"/>
      <w:lvlText w:val="%2."/>
      <w:lvlJc w:val="left"/>
      <w:pPr>
        <w:ind w:left="1440" w:hanging="360"/>
      </w:pPr>
    </w:lvl>
    <w:lvl w:ilvl="2" w:tplc="DC2C43BA" w:tentative="1">
      <w:start w:val="1"/>
      <w:numFmt w:val="lowerRoman"/>
      <w:lvlText w:val="%3."/>
      <w:lvlJc w:val="right"/>
      <w:pPr>
        <w:ind w:left="2160" w:hanging="180"/>
      </w:pPr>
    </w:lvl>
    <w:lvl w:ilvl="3" w:tplc="B45CD9AE" w:tentative="1">
      <w:start w:val="1"/>
      <w:numFmt w:val="decimal"/>
      <w:lvlText w:val="%4."/>
      <w:lvlJc w:val="left"/>
      <w:pPr>
        <w:ind w:left="2880" w:hanging="360"/>
      </w:pPr>
    </w:lvl>
    <w:lvl w:ilvl="4" w:tplc="7C0A1BF8" w:tentative="1">
      <w:start w:val="1"/>
      <w:numFmt w:val="lowerLetter"/>
      <w:lvlText w:val="%5."/>
      <w:lvlJc w:val="left"/>
      <w:pPr>
        <w:ind w:left="3600" w:hanging="360"/>
      </w:pPr>
    </w:lvl>
    <w:lvl w:ilvl="5" w:tplc="5ABAF896" w:tentative="1">
      <w:start w:val="1"/>
      <w:numFmt w:val="lowerRoman"/>
      <w:lvlText w:val="%6."/>
      <w:lvlJc w:val="right"/>
      <w:pPr>
        <w:ind w:left="4320" w:hanging="180"/>
      </w:pPr>
    </w:lvl>
    <w:lvl w:ilvl="6" w:tplc="202C7C5C" w:tentative="1">
      <w:start w:val="1"/>
      <w:numFmt w:val="decimal"/>
      <w:lvlText w:val="%7."/>
      <w:lvlJc w:val="left"/>
      <w:pPr>
        <w:ind w:left="5040" w:hanging="360"/>
      </w:pPr>
    </w:lvl>
    <w:lvl w:ilvl="7" w:tplc="32A2E75C" w:tentative="1">
      <w:start w:val="1"/>
      <w:numFmt w:val="lowerLetter"/>
      <w:lvlText w:val="%8."/>
      <w:lvlJc w:val="left"/>
      <w:pPr>
        <w:ind w:left="5760" w:hanging="360"/>
      </w:pPr>
    </w:lvl>
    <w:lvl w:ilvl="8" w:tplc="33E43CDA" w:tentative="1">
      <w:start w:val="1"/>
      <w:numFmt w:val="lowerRoman"/>
      <w:lvlText w:val="%9."/>
      <w:lvlJc w:val="right"/>
      <w:pPr>
        <w:ind w:left="6480" w:hanging="180"/>
      </w:pPr>
    </w:lvl>
  </w:abstractNum>
  <w:abstractNum w:abstractNumId="16" w15:restartNumberingAfterBreak="0">
    <w:nsid w:val="20E82F3A"/>
    <w:multiLevelType w:val="hybridMultilevel"/>
    <w:tmpl w:val="1DF80854"/>
    <w:lvl w:ilvl="0" w:tplc="527CF2A6">
      <w:start w:val="1"/>
      <w:numFmt w:val="decimal"/>
      <w:pStyle w:val="ScheduleHeading-Single"/>
      <w:lvlText w:val="Schedule"/>
      <w:lvlJc w:val="left"/>
      <w:pPr>
        <w:tabs>
          <w:tab w:val="num" w:pos="720"/>
        </w:tabs>
        <w:ind w:left="720" w:hanging="720"/>
      </w:pPr>
      <w:rPr>
        <w:color w:val="000000"/>
      </w:rPr>
    </w:lvl>
    <w:lvl w:ilvl="1" w:tplc="4C861B9C" w:tentative="1">
      <w:start w:val="1"/>
      <w:numFmt w:val="lowerLetter"/>
      <w:lvlText w:val="%2."/>
      <w:lvlJc w:val="left"/>
      <w:pPr>
        <w:tabs>
          <w:tab w:val="num" w:pos="1440"/>
        </w:tabs>
        <w:ind w:left="1440" w:hanging="360"/>
      </w:pPr>
    </w:lvl>
    <w:lvl w:ilvl="2" w:tplc="73669C88" w:tentative="1">
      <w:start w:val="1"/>
      <w:numFmt w:val="lowerRoman"/>
      <w:lvlText w:val="%3."/>
      <w:lvlJc w:val="right"/>
      <w:pPr>
        <w:tabs>
          <w:tab w:val="num" w:pos="2160"/>
        </w:tabs>
        <w:ind w:left="2160" w:hanging="180"/>
      </w:pPr>
    </w:lvl>
    <w:lvl w:ilvl="3" w:tplc="9C6AFECC" w:tentative="1">
      <w:start w:val="1"/>
      <w:numFmt w:val="decimal"/>
      <w:lvlText w:val="%4."/>
      <w:lvlJc w:val="left"/>
      <w:pPr>
        <w:tabs>
          <w:tab w:val="num" w:pos="2880"/>
        </w:tabs>
        <w:ind w:left="2880" w:hanging="360"/>
      </w:pPr>
    </w:lvl>
    <w:lvl w:ilvl="4" w:tplc="9C4C7BAC" w:tentative="1">
      <w:start w:val="1"/>
      <w:numFmt w:val="lowerLetter"/>
      <w:lvlText w:val="%5."/>
      <w:lvlJc w:val="left"/>
      <w:pPr>
        <w:tabs>
          <w:tab w:val="num" w:pos="3600"/>
        </w:tabs>
        <w:ind w:left="3600" w:hanging="360"/>
      </w:pPr>
    </w:lvl>
    <w:lvl w:ilvl="5" w:tplc="EC9CD538" w:tentative="1">
      <w:start w:val="1"/>
      <w:numFmt w:val="lowerRoman"/>
      <w:lvlText w:val="%6."/>
      <w:lvlJc w:val="right"/>
      <w:pPr>
        <w:tabs>
          <w:tab w:val="num" w:pos="4320"/>
        </w:tabs>
        <w:ind w:left="4320" w:hanging="180"/>
      </w:pPr>
    </w:lvl>
    <w:lvl w:ilvl="6" w:tplc="3C38B042" w:tentative="1">
      <w:start w:val="1"/>
      <w:numFmt w:val="decimal"/>
      <w:lvlText w:val="%7."/>
      <w:lvlJc w:val="left"/>
      <w:pPr>
        <w:tabs>
          <w:tab w:val="num" w:pos="5040"/>
        </w:tabs>
        <w:ind w:left="5040" w:hanging="360"/>
      </w:pPr>
    </w:lvl>
    <w:lvl w:ilvl="7" w:tplc="54E4130C" w:tentative="1">
      <w:start w:val="1"/>
      <w:numFmt w:val="lowerLetter"/>
      <w:lvlText w:val="%8."/>
      <w:lvlJc w:val="left"/>
      <w:pPr>
        <w:tabs>
          <w:tab w:val="num" w:pos="5760"/>
        </w:tabs>
        <w:ind w:left="5760" w:hanging="360"/>
      </w:pPr>
    </w:lvl>
    <w:lvl w:ilvl="8" w:tplc="0B8A29E0" w:tentative="1">
      <w:start w:val="1"/>
      <w:numFmt w:val="lowerRoman"/>
      <w:lvlText w:val="%9."/>
      <w:lvlJc w:val="right"/>
      <w:pPr>
        <w:tabs>
          <w:tab w:val="num" w:pos="6480"/>
        </w:tabs>
        <w:ind w:left="6480" w:hanging="180"/>
      </w:pPr>
    </w:lvl>
  </w:abstractNum>
  <w:abstractNum w:abstractNumId="17" w15:restartNumberingAfterBreak="0">
    <w:nsid w:val="2335513A"/>
    <w:multiLevelType w:val="multilevel"/>
    <w:tmpl w:val="DEB2D022"/>
    <w:lvl w:ilvl="0">
      <w:start w:val="1"/>
      <w:numFmt w:val="lowerLetter"/>
      <w:lvlText w:val="%1)"/>
      <w:lvlJc w:val="left"/>
      <w:pPr>
        <w:tabs>
          <w:tab w:val="num" w:pos="1555"/>
        </w:tabs>
        <w:ind w:left="1555" w:hanging="561"/>
      </w:pPr>
      <w:rPr>
        <w:rFonts w:hint="default"/>
        <w:color w:val="000000"/>
      </w:rPr>
    </w:lvl>
    <w:lvl w:ilvl="1">
      <w:start w:val="1"/>
      <w:numFmt w:val="lowerLetter"/>
      <w:lvlText w:val="%2."/>
      <w:lvlJc w:val="left"/>
      <w:pPr>
        <w:ind w:left="2434" w:hanging="360"/>
      </w:pPr>
      <w:rPr>
        <w:rFonts w:hint="default"/>
      </w:rPr>
    </w:lvl>
    <w:lvl w:ilvl="2">
      <w:start w:val="1"/>
      <w:numFmt w:val="lowerRoman"/>
      <w:lvlText w:val="%3."/>
      <w:lvlJc w:val="right"/>
      <w:pPr>
        <w:ind w:left="3154" w:hanging="180"/>
      </w:pPr>
      <w:rPr>
        <w:rFonts w:hint="default"/>
      </w:rPr>
    </w:lvl>
    <w:lvl w:ilvl="3">
      <w:start w:val="1"/>
      <w:numFmt w:val="decimal"/>
      <w:lvlText w:val="%4."/>
      <w:lvlJc w:val="left"/>
      <w:pPr>
        <w:ind w:left="3874" w:hanging="360"/>
      </w:pPr>
      <w:rPr>
        <w:rFonts w:hint="default"/>
      </w:rPr>
    </w:lvl>
    <w:lvl w:ilvl="4">
      <w:start w:val="1"/>
      <w:numFmt w:val="lowerLetter"/>
      <w:lvlText w:val="%5."/>
      <w:lvlJc w:val="left"/>
      <w:pPr>
        <w:ind w:left="4594" w:hanging="360"/>
      </w:pPr>
      <w:rPr>
        <w:rFonts w:hint="default"/>
      </w:rPr>
    </w:lvl>
    <w:lvl w:ilvl="5">
      <w:start w:val="1"/>
      <w:numFmt w:val="lowerRoman"/>
      <w:lvlText w:val="%6."/>
      <w:lvlJc w:val="right"/>
      <w:pPr>
        <w:ind w:left="5314" w:hanging="180"/>
      </w:pPr>
      <w:rPr>
        <w:rFonts w:hint="default"/>
      </w:rPr>
    </w:lvl>
    <w:lvl w:ilvl="6">
      <w:start w:val="1"/>
      <w:numFmt w:val="decimal"/>
      <w:lvlText w:val="%7."/>
      <w:lvlJc w:val="left"/>
      <w:pPr>
        <w:ind w:left="6034" w:hanging="360"/>
      </w:pPr>
      <w:rPr>
        <w:rFonts w:hint="default"/>
      </w:rPr>
    </w:lvl>
    <w:lvl w:ilvl="7">
      <w:start w:val="1"/>
      <w:numFmt w:val="lowerLetter"/>
      <w:lvlText w:val="%8."/>
      <w:lvlJc w:val="left"/>
      <w:pPr>
        <w:ind w:left="6754" w:hanging="360"/>
      </w:pPr>
      <w:rPr>
        <w:rFonts w:hint="default"/>
      </w:rPr>
    </w:lvl>
    <w:lvl w:ilvl="8">
      <w:start w:val="1"/>
      <w:numFmt w:val="lowerRoman"/>
      <w:lvlText w:val="%9."/>
      <w:lvlJc w:val="right"/>
      <w:pPr>
        <w:ind w:left="7474" w:hanging="180"/>
      </w:pPr>
      <w:rPr>
        <w:rFonts w:hint="default"/>
      </w:rPr>
    </w:lvl>
  </w:abstractNum>
  <w:abstractNum w:abstractNumId="18" w15:restartNumberingAfterBreak="0">
    <w:nsid w:val="23F230AE"/>
    <w:multiLevelType w:val="hybridMultilevel"/>
    <w:tmpl w:val="DC3EE75A"/>
    <w:lvl w:ilvl="0" w:tplc="16FC399E">
      <w:start w:val="1"/>
      <w:numFmt w:val="decimal"/>
      <w:lvlText w:val="Part %1"/>
      <w:lvlJc w:val="left"/>
      <w:pPr>
        <w:ind w:left="720" w:hanging="360"/>
      </w:pPr>
      <w:rPr>
        <w:rFonts w:hint="default"/>
        <w:b/>
        <w:i w:val="0"/>
        <w:color w:val="000000"/>
      </w:rPr>
    </w:lvl>
    <w:lvl w:ilvl="1" w:tplc="F36C3396" w:tentative="1">
      <w:start w:val="1"/>
      <w:numFmt w:val="lowerLetter"/>
      <w:lvlText w:val="%2."/>
      <w:lvlJc w:val="left"/>
      <w:pPr>
        <w:ind w:left="1440" w:hanging="360"/>
      </w:pPr>
    </w:lvl>
    <w:lvl w:ilvl="2" w:tplc="62B2A040" w:tentative="1">
      <w:start w:val="1"/>
      <w:numFmt w:val="lowerRoman"/>
      <w:lvlText w:val="%3."/>
      <w:lvlJc w:val="right"/>
      <w:pPr>
        <w:ind w:left="2160" w:hanging="180"/>
      </w:pPr>
    </w:lvl>
    <w:lvl w:ilvl="3" w:tplc="4D20168C" w:tentative="1">
      <w:start w:val="1"/>
      <w:numFmt w:val="decimal"/>
      <w:lvlText w:val="%4."/>
      <w:lvlJc w:val="left"/>
      <w:pPr>
        <w:ind w:left="2880" w:hanging="360"/>
      </w:pPr>
    </w:lvl>
    <w:lvl w:ilvl="4" w:tplc="561E2016" w:tentative="1">
      <w:start w:val="1"/>
      <w:numFmt w:val="lowerLetter"/>
      <w:lvlText w:val="%5."/>
      <w:lvlJc w:val="left"/>
      <w:pPr>
        <w:ind w:left="3600" w:hanging="360"/>
      </w:pPr>
    </w:lvl>
    <w:lvl w:ilvl="5" w:tplc="2E6074C4" w:tentative="1">
      <w:start w:val="1"/>
      <w:numFmt w:val="lowerRoman"/>
      <w:lvlText w:val="%6."/>
      <w:lvlJc w:val="right"/>
      <w:pPr>
        <w:ind w:left="4320" w:hanging="180"/>
      </w:pPr>
    </w:lvl>
    <w:lvl w:ilvl="6" w:tplc="DF8239BE" w:tentative="1">
      <w:start w:val="1"/>
      <w:numFmt w:val="decimal"/>
      <w:lvlText w:val="%7."/>
      <w:lvlJc w:val="left"/>
      <w:pPr>
        <w:ind w:left="5040" w:hanging="360"/>
      </w:pPr>
    </w:lvl>
    <w:lvl w:ilvl="7" w:tplc="76E22B44" w:tentative="1">
      <w:start w:val="1"/>
      <w:numFmt w:val="lowerLetter"/>
      <w:lvlText w:val="%8."/>
      <w:lvlJc w:val="left"/>
      <w:pPr>
        <w:ind w:left="5760" w:hanging="360"/>
      </w:pPr>
    </w:lvl>
    <w:lvl w:ilvl="8" w:tplc="3C9CA2D6" w:tentative="1">
      <w:start w:val="1"/>
      <w:numFmt w:val="lowerRoman"/>
      <w:lvlText w:val="%9."/>
      <w:lvlJc w:val="right"/>
      <w:pPr>
        <w:ind w:left="6480" w:hanging="180"/>
      </w:pPr>
    </w:lvl>
  </w:abstractNum>
  <w:abstractNum w:abstractNumId="19" w15:restartNumberingAfterBreak="0">
    <w:nsid w:val="25B00E4C"/>
    <w:multiLevelType w:val="hybridMultilevel"/>
    <w:tmpl w:val="97C4AA26"/>
    <w:lvl w:ilvl="0" w:tplc="D6C84B9A">
      <w:start w:val="1"/>
      <w:numFmt w:val="upperLetter"/>
      <w:pStyle w:val="Annex"/>
      <w:lvlText w:val="ANNEX %1"/>
      <w:lvlJc w:val="left"/>
      <w:pPr>
        <w:ind w:left="720" w:hanging="360"/>
      </w:pPr>
      <w:rPr>
        <w:rFonts w:cs="Times New Roman" w:hint="default"/>
        <w:b/>
        <w:bCs w:val="0"/>
        <w:i w:val="0"/>
        <w:iCs w:val="0"/>
        <w:caps w:val="0"/>
        <w:strike w:val="0"/>
        <w:dstrike w:val="0"/>
        <w:outline w:val="0"/>
        <w:shadow w:val="0"/>
        <w:emboss w:val="0"/>
        <w:imprint w:val="0"/>
        <w:vanish w:val="0"/>
        <w:color w:val="000000"/>
        <w:spacing w:val="0"/>
        <w:kern w:val="0"/>
        <w:position w:val="0"/>
        <w:u w:val="none"/>
        <w:effect w:val="none"/>
        <w:vertAlign w:val="baseline"/>
        <w14:ligatures w14:val="none"/>
        <w14:numForm w14:val="default"/>
        <w14:numSpacing w14:val="default"/>
        <w14:stylisticSets/>
        <w14:cntxtAlts w14:val="0"/>
      </w:rPr>
    </w:lvl>
    <w:lvl w:ilvl="1" w:tplc="C262A218" w:tentative="1">
      <w:start w:val="1"/>
      <w:numFmt w:val="lowerLetter"/>
      <w:lvlText w:val="%2."/>
      <w:lvlJc w:val="left"/>
      <w:pPr>
        <w:ind w:left="1440" w:hanging="360"/>
      </w:pPr>
    </w:lvl>
    <w:lvl w:ilvl="2" w:tplc="F892C3A0" w:tentative="1">
      <w:start w:val="1"/>
      <w:numFmt w:val="lowerRoman"/>
      <w:lvlText w:val="%3."/>
      <w:lvlJc w:val="right"/>
      <w:pPr>
        <w:ind w:left="2160" w:hanging="180"/>
      </w:pPr>
    </w:lvl>
    <w:lvl w:ilvl="3" w:tplc="58BA51C0" w:tentative="1">
      <w:start w:val="1"/>
      <w:numFmt w:val="decimal"/>
      <w:lvlText w:val="%4."/>
      <w:lvlJc w:val="left"/>
      <w:pPr>
        <w:ind w:left="2880" w:hanging="360"/>
      </w:pPr>
    </w:lvl>
    <w:lvl w:ilvl="4" w:tplc="B56CA824" w:tentative="1">
      <w:start w:val="1"/>
      <w:numFmt w:val="lowerLetter"/>
      <w:lvlText w:val="%5."/>
      <w:lvlJc w:val="left"/>
      <w:pPr>
        <w:ind w:left="3600" w:hanging="360"/>
      </w:pPr>
    </w:lvl>
    <w:lvl w:ilvl="5" w:tplc="136443BA" w:tentative="1">
      <w:start w:val="1"/>
      <w:numFmt w:val="lowerRoman"/>
      <w:lvlText w:val="%6."/>
      <w:lvlJc w:val="right"/>
      <w:pPr>
        <w:ind w:left="4320" w:hanging="180"/>
      </w:pPr>
    </w:lvl>
    <w:lvl w:ilvl="6" w:tplc="C8005C46" w:tentative="1">
      <w:start w:val="1"/>
      <w:numFmt w:val="decimal"/>
      <w:lvlText w:val="%7."/>
      <w:lvlJc w:val="left"/>
      <w:pPr>
        <w:ind w:left="5040" w:hanging="360"/>
      </w:pPr>
    </w:lvl>
    <w:lvl w:ilvl="7" w:tplc="5092787A" w:tentative="1">
      <w:start w:val="1"/>
      <w:numFmt w:val="lowerLetter"/>
      <w:lvlText w:val="%8."/>
      <w:lvlJc w:val="left"/>
      <w:pPr>
        <w:ind w:left="5760" w:hanging="360"/>
      </w:pPr>
    </w:lvl>
    <w:lvl w:ilvl="8" w:tplc="73482BE2" w:tentative="1">
      <w:start w:val="1"/>
      <w:numFmt w:val="lowerRoman"/>
      <w:lvlText w:val="%9."/>
      <w:lvlJc w:val="right"/>
      <w:pPr>
        <w:ind w:left="6480" w:hanging="180"/>
      </w:pPr>
    </w:lvl>
  </w:abstractNum>
  <w:abstractNum w:abstractNumId="20" w15:restartNumberingAfterBreak="0">
    <w:nsid w:val="29C94F29"/>
    <w:multiLevelType w:val="hybridMultilevel"/>
    <w:tmpl w:val="4CBC2A34"/>
    <w:lvl w:ilvl="0" w:tplc="D6F29B38">
      <w:start w:val="1"/>
      <w:numFmt w:val="decimal"/>
      <w:pStyle w:val="QuestionParagraph"/>
      <w:lvlText w:val="%1."/>
      <w:lvlJc w:val="left"/>
      <w:pPr>
        <w:ind w:left="720" w:hanging="360"/>
      </w:pPr>
      <w:rPr>
        <w:color w:val="000000"/>
      </w:rPr>
    </w:lvl>
    <w:lvl w:ilvl="1" w:tplc="21C02B54" w:tentative="1">
      <w:start w:val="1"/>
      <w:numFmt w:val="lowerLetter"/>
      <w:lvlText w:val="%2."/>
      <w:lvlJc w:val="left"/>
      <w:pPr>
        <w:ind w:left="1440" w:hanging="360"/>
      </w:pPr>
    </w:lvl>
    <w:lvl w:ilvl="2" w:tplc="A38CA72A" w:tentative="1">
      <w:start w:val="1"/>
      <w:numFmt w:val="lowerRoman"/>
      <w:lvlText w:val="%3."/>
      <w:lvlJc w:val="right"/>
      <w:pPr>
        <w:ind w:left="2160" w:hanging="180"/>
      </w:pPr>
    </w:lvl>
    <w:lvl w:ilvl="3" w:tplc="7C2E9174" w:tentative="1">
      <w:start w:val="1"/>
      <w:numFmt w:val="decimal"/>
      <w:lvlText w:val="%4."/>
      <w:lvlJc w:val="left"/>
      <w:pPr>
        <w:ind w:left="2880" w:hanging="360"/>
      </w:pPr>
    </w:lvl>
    <w:lvl w:ilvl="4" w:tplc="7C74FD34" w:tentative="1">
      <w:start w:val="1"/>
      <w:numFmt w:val="lowerLetter"/>
      <w:lvlText w:val="%5."/>
      <w:lvlJc w:val="left"/>
      <w:pPr>
        <w:ind w:left="3600" w:hanging="360"/>
      </w:pPr>
    </w:lvl>
    <w:lvl w:ilvl="5" w:tplc="70724C6A" w:tentative="1">
      <w:start w:val="1"/>
      <w:numFmt w:val="lowerRoman"/>
      <w:lvlText w:val="%6."/>
      <w:lvlJc w:val="right"/>
      <w:pPr>
        <w:ind w:left="4320" w:hanging="180"/>
      </w:pPr>
    </w:lvl>
    <w:lvl w:ilvl="6" w:tplc="FAB6B61C" w:tentative="1">
      <w:start w:val="1"/>
      <w:numFmt w:val="decimal"/>
      <w:lvlText w:val="%7."/>
      <w:lvlJc w:val="left"/>
      <w:pPr>
        <w:ind w:left="5040" w:hanging="360"/>
      </w:pPr>
    </w:lvl>
    <w:lvl w:ilvl="7" w:tplc="FCC6DA52" w:tentative="1">
      <w:start w:val="1"/>
      <w:numFmt w:val="lowerLetter"/>
      <w:lvlText w:val="%8."/>
      <w:lvlJc w:val="left"/>
      <w:pPr>
        <w:ind w:left="5760" w:hanging="360"/>
      </w:pPr>
    </w:lvl>
    <w:lvl w:ilvl="8" w:tplc="274037C6" w:tentative="1">
      <w:start w:val="1"/>
      <w:numFmt w:val="lowerRoman"/>
      <w:lvlText w:val="%9."/>
      <w:lvlJc w:val="right"/>
      <w:pPr>
        <w:ind w:left="6480" w:hanging="180"/>
      </w:pPr>
    </w:lvl>
  </w:abstractNum>
  <w:abstractNum w:abstractNumId="21" w15:restartNumberingAfterBreak="0">
    <w:nsid w:val="310416CA"/>
    <w:multiLevelType w:val="hybridMultilevel"/>
    <w:tmpl w:val="072EDEC8"/>
    <w:lvl w:ilvl="0" w:tplc="172C6D6A">
      <w:start w:val="1"/>
      <w:numFmt w:val="bullet"/>
      <w:pStyle w:val="subclause2Bullet2"/>
      <w:lvlText w:val=""/>
      <w:lvlJc w:val="left"/>
      <w:pPr>
        <w:ind w:left="2279" w:hanging="360"/>
      </w:pPr>
      <w:rPr>
        <w:rFonts w:ascii="Symbol" w:hAnsi="Symbol" w:hint="default"/>
        <w:color w:val="000000"/>
      </w:rPr>
    </w:lvl>
    <w:lvl w:ilvl="1" w:tplc="F8ACA14A" w:tentative="1">
      <w:start w:val="1"/>
      <w:numFmt w:val="bullet"/>
      <w:lvlText w:val="o"/>
      <w:lvlJc w:val="left"/>
      <w:pPr>
        <w:ind w:left="2999" w:hanging="360"/>
      </w:pPr>
      <w:rPr>
        <w:rFonts w:ascii="Courier New" w:hAnsi="Courier New" w:cs="Courier New" w:hint="default"/>
      </w:rPr>
    </w:lvl>
    <w:lvl w:ilvl="2" w:tplc="2D4625CA" w:tentative="1">
      <w:start w:val="1"/>
      <w:numFmt w:val="bullet"/>
      <w:lvlText w:val=""/>
      <w:lvlJc w:val="left"/>
      <w:pPr>
        <w:ind w:left="3719" w:hanging="360"/>
      </w:pPr>
      <w:rPr>
        <w:rFonts w:ascii="Wingdings" w:hAnsi="Wingdings" w:hint="default"/>
      </w:rPr>
    </w:lvl>
    <w:lvl w:ilvl="3" w:tplc="08E21F32" w:tentative="1">
      <w:start w:val="1"/>
      <w:numFmt w:val="bullet"/>
      <w:lvlText w:val=""/>
      <w:lvlJc w:val="left"/>
      <w:pPr>
        <w:ind w:left="4439" w:hanging="360"/>
      </w:pPr>
      <w:rPr>
        <w:rFonts w:ascii="Symbol" w:hAnsi="Symbol" w:hint="default"/>
      </w:rPr>
    </w:lvl>
    <w:lvl w:ilvl="4" w:tplc="23F82A50" w:tentative="1">
      <w:start w:val="1"/>
      <w:numFmt w:val="bullet"/>
      <w:lvlText w:val="o"/>
      <w:lvlJc w:val="left"/>
      <w:pPr>
        <w:ind w:left="5159" w:hanging="360"/>
      </w:pPr>
      <w:rPr>
        <w:rFonts w:ascii="Courier New" w:hAnsi="Courier New" w:cs="Courier New" w:hint="default"/>
      </w:rPr>
    </w:lvl>
    <w:lvl w:ilvl="5" w:tplc="9E6648DC" w:tentative="1">
      <w:start w:val="1"/>
      <w:numFmt w:val="bullet"/>
      <w:lvlText w:val=""/>
      <w:lvlJc w:val="left"/>
      <w:pPr>
        <w:ind w:left="5879" w:hanging="360"/>
      </w:pPr>
      <w:rPr>
        <w:rFonts w:ascii="Wingdings" w:hAnsi="Wingdings" w:hint="default"/>
      </w:rPr>
    </w:lvl>
    <w:lvl w:ilvl="6" w:tplc="94AC07A6" w:tentative="1">
      <w:start w:val="1"/>
      <w:numFmt w:val="bullet"/>
      <w:lvlText w:val=""/>
      <w:lvlJc w:val="left"/>
      <w:pPr>
        <w:ind w:left="6599" w:hanging="360"/>
      </w:pPr>
      <w:rPr>
        <w:rFonts w:ascii="Symbol" w:hAnsi="Symbol" w:hint="default"/>
      </w:rPr>
    </w:lvl>
    <w:lvl w:ilvl="7" w:tplc="B52E333C" w:tentative="1">
      <w:start w:val="1"/>
      <w:numFmt w:val="bullet"/>
      <w:lvlText w:val="o"/>
      <w:lvlJc w:val="left"/>
      <w:pPr>
        <w:ind w:left="7319" w:hanging="360"/>
      </w:pPr>
      <w:rPr>
        <w:rFonts w:ascii="Courier New" w:hAnsi="Courier New" w:cs="Courier New" w:hint="default"/>
      </w:rPr>
    </w:lvl>
    <w:lvl w:ilvl="8" w:tplc="001A453E" w:tentative="1">
      <w:start w:val="1"/>
      <w:numFmt w:val="bullet"/>
      <w:lvlText w:val=""/>
      <w:lvlJc w:val="left"/>
      <w:pPr>
        <w:ind w:left="8039" w:hanging="360"/>
      </w:pPr>
      <w:rPr>
        <w:rFonts w:ascii="Wingdings" w:hAnsi="Wingdings" w:hint="default"/>
      </w:rPr>
    </w:lvl>
  </w:abstractNum>
  <w:abstractNum w:abstractNumId="22" w15:restartNumberingAfterBreak="0">
    <w:nsid w:val="31E9741F"/>
    <w:multiLevelType w:val="hybridMultilevel"/>
    <w:tmpl w:val="0CAC7D4E"/>
    <w:lvl w:ilvl="0" w:tplc="F830E43E">
      <w:start w:val="1"/>
      <w:numFmt w:val="bullet"/>
      <w:pStyle w:val="BulletList2"/>
      <w:lvlText w:val=""/>
      <w:lvlJc w:val="left"/>
      <w:pPr>
        <w:tabs>
          <w:tab w:val="num" w:pos="1077"/>
        </w:tabs>
        <w:ind w:left="1077" w:hanging="357"/>
      </w:pPr>
      <w:rPr>
        <w:rFonts w:ascii="Symbol" w:hAnsi="Symbol" w:hint="default"/>
        <w:color w:val="000000"/>
      </w:rPr>
    </w:lvl>
    <w:lvl w:ilvl="1" w:tplc="A058EC1C" w:tentative="1">
      <w:start w:val="1"/>
      <w:numFmt w:val="bullet"/>
      <w:lvlText w:val="o"/>
      <w:lvlJc w:val="left"/>
      <w:pPr>
        <w:tabs>
          <w:tab w:val="num" w:pos="1440"/>
        </w:tabs>
        <w:ind w:left="1440" w:hanging="360"/>
      </w:pPr>
      <w:rPr>
        <w:rFonts w:ascii="Courier New" w:hAnsi="Courier New" w:cs="Courier New" w:hint="default"/>
      </w:rPr>
    </w:lvl>
    <w:lvl w:ilvl="2" w:tplc="6EC4E84C" w:tentative="1">
      <w:start w:val="1"/>
      <w:numFmt w:val="bullet"/>
      <w:lvlText w:val=""/>
      <w:lvlJc w:val="left"/>
      <w:pPr>
        <w:tabs>
          <w:tab w:val="num" w:pos="2160"/>
        </w:tabs>
        <w:ind w:left="2160" w:hanging="360"/>
      </w:pPr>
      <w:rPr>
        <w:rFonts w:ascii="Wingdings" w:hAnsi="Wingdings" w:hint="default"/>
      </w:rPr>
    </w:lvl>
    <w:lvl w:ilvl="3" w:tplc="43FEE0DA" w:tentative="1">
      <w:start w:val="1"/>
      <w:numFmt w:val="bullet"/>
      <w:lvlText w:val=""/>
      <w:lvlJc w:val="left"/>
      <w:pPr>
        <w:tabs>
          <w:tab w:val="num" w:pos="2880"/>
        </w:tabs>
        <w:ind w:left="2880" w:hanging="360"/>
      </w:pPr>
      <w:rPr>
        <w:rFonts w:ascii="Symbol" w:hAnsi="Symbol" w:hint="default"/>
      </w:rPr>
    </w:lvl>
    <w:lvl w:ilvl="4" w:tplc="C3A8C10C" w:tentative="1">
      <w:start w:val="1"/>
      <w:numFmt w:val="bullet"/>
      <w:lvlText w:val="o"/>
      <w:lvlJc w:val="left"/>
      <w:pPr>
        <w:tabs>
          <w:tab w:val="num" w:pos="3600"/>
        </w:tabs>
        <w:ind w:left="3600" w:hanging="360"/>
      </w:pPr>
      <w:rPr>
        <w:rFonts w:ascii="Courier New" w:hAnsi="Courier New" w:cs="Courier New" w:hint="default"/>
      </w:rPr>
    </w:lvl>
    <w:lvl w:ilvl="5" w:tplc="A55EA7AE" w:tentative="1">
      <w:start w:val="1"/>
      <w:numFmt w:val="bullet"/>
      <w:lvlText w:val=""/>
      <w:lvlJc w:val="left"/>
      <w:pPr>
        <w:tabs>
          <w:tab w:val="num" w:pos="4320"/>
        </w:tabs>
        <w:ind w:left="4320" w:hanging="360"/>
      </w:pPr>
      <w:rPr>
        <w:rFonts w:ascii="Wingdings" w:hAnsi="Wingdings" w:hint="default"/>
      </w:rPr>
    </w:lvl>
    <w:lvl w:ilvl="6" w:tplc="56CE98FA" w:tentative="1">
      <w:start w:val="1"/>
      <w:numFmt w:val="bullet"/>
      <w:lvlText w:val=""/>
      <w:lvlJc w:val="left"/>
      <w:pPr>
        <w:tabs>
          <w:tab w:val="num" w:pos="5040"/>
        </w:tabs>
        <w:ind w:left="5040" w:hanging="360"/>
      </w:pPr>
      <w:rPr>
        <w:rFonts w:ascii="Symbol" w:hAnsi="Symbol" w:hint="default"/>
      </w:rPr>
    </w:lvl>
    <w:lvl w:ilvl="7" w:tplc="217A8AF6" w:tentative="1">
      <w:start w:val="1"/>
      <w:numFmt w:val="bullet"/>
      <w:lvlText w:val="o"/>
      <w:lvlJc w:val="left"/>
      <w:pPr>
        <w:tabs>
          <w:tab w:val="num" w:pos="5760"/>
        </w:tabs>
        <w:ind w:left="5760" w:hanging="360"/>
      </w:pPr>
      <w:rPr>
        <w:rFonts w:ascii="Courier New" w:hAnsi="Courier New" w:cs="Courier New" w:hint="default"/>
      </w:rPr>
    </w:lvl>
    <w:lvl w:ilvl="8" w:tplc="916A0232"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3CC668D"/>
    <w:multiLevelType w:val="hybridMultilevel"/>
    <w:tmpl w:val="594C4DAE"/>
    <w:lvl w:ilvl="0" w:tplc="BC6C29CA">
      <w:start w:val="1"/>
      <w:numFmt w:val="bullet"/>
      <w:pStyle w:val="Bullet4"/>
      <w:lvlText w:val=""/>
      <w:lvlJc w:val="left"/>
      <w:pPr>
        <w:tabs>
          <w:tab w:val="num" w:pos="2676"/>
        </w:tabs>
        <w:ind w:left="2676" w:hanging="357"/>
      </w:pPr>
      <w:rPr>
        <w:rFonts w:ascii="Symbol" w:hAnsi="Symbol" w:hint="default"/>
        <w:color w:val="000000"/>
      </w:rPr>
    </w:lvl>
    <w:lvl w:ilvl="1" w:tplc="7098D21C" w:tentative="1">
      <w:start w:val="1"/>
      <w:numFmt w:val="bullet"/>
      <w:lvlText w:val="o"/>
      <w:lvlJc w:val="left"/>
      <w:pPr>
        <w:tabs>
          <w:tab w:val="num" w:pos="1440"/>
        </w:tabs>
        <w:ind w:left="1440" w:hanging="360"/>
      </w:pPr>
      <w:rPr>
        <w:rFonts w:ascii="Courier New" w:hAnsi="Courier New" w:cs="Courier New" w:hint="default"/>
      </w:rPr>
    </w:lvl>
    <w:lvl w:ilvl="2" w:tplc="27DED61E" w:tentative="1">
      <w:start w:val="1"/>
      <w:numFmt w:val="bullet"/>
      <w:lvlText w:val=""/>
      <w:lvlJc w:val="left"/>
      <w:pPr>
        <w:tabs>
          <w:tab w:val="num" w:pos="2160"/>
        </w:tabs>
        <w:ind w:left="2160" w:hanging="360"/>
      </w:pPr>
      <w:rPr>
        <w:rFonts w:ascii="Wingdings" w:hAnsi="Wingdings" w:hint="default"/>
      </w:rPr>
    </w:lvl>
    <w:lvl w:ilvl="3" w:tplc="DA0A7082" w:tentative="1">
      <w:start w:val="1"/>
      <w:numFmt w:val="bullet"/>
      <w:lvlText w:val=""/>
      <w:lvlJc w:val="left"/>
      <w:pPr>
        <w:tabs>
          <w:tab w:val="num" w:pos="2880"/>
        </w:tabs>
        <w:ind w:left="2880" w:hanging="360"/>
      </w:pPr>
      <w:rPr>
        <w:rFonts w:ascii="Symbol" w:hAnsi="Symbol" w:hint="default"/>
      </w:rPr>
    </w:lvl>
    <w:lvl w:ilvl="4" w:tplc="91F86E8A" w:tentative="1">
      <w:start w:val="1"/>
      <w:numFmt w:val="bullet"/>
      <w:lvlText w:val="o"/>
      <w:lvlJc w:val="left"/>
      <w:pPr>
        <w:tabs>
          <w:tab w:val="num" w:pos="3600"/>
        </w:tabs>
        <w:ind w:left="3600" w:hanging="360"/>
      </w:pPr>
      <w:rPr>
        <w:rFonts w:ascii="Courier New" w:hAnsi="Courier New" w:cs="Courier New" w:hint="default"/>
      </w:rPr>
    </w:lvl>
    <w:lvl w:ilvl="5" w:tplc="0A467C50" w:tentative="1">
      <w:start w:val="1"/>
      <w:numFmt w:val="bullet"/>
      <w:lvlText w:val=""/>
      <w:lvlJc w:val="left"/>
      <w:pPr>
        <w:tabs>
          <w:tab w:val="num" w:pos="4320"/>
        </w:tabs>
        <w:ind w:left="4320" w:hanging="360"/>
      </w:pPr>
      <w:rPr>
        <w:rFonts w:ascii="Wingdings" w:hAnsi="Wingdings" w:hint="default"/>
      </w:rPr>
    </w:lvl>
    <w:lvl w:ilvl="6" w:tplc="6CD2537C" w:tentative="1">
      <w:start w:val="1"/>
      <w:numFmt w:val="bullet"/>
      <w:lvlText w:val=""/>
      <w:lvlJc w:val="left"/>
      <w:pPr>
        <w:tabs>
          <w:tab w:val="num" w:pos="5040"/>
        </w:tabs>
        <w:ind w:left="5040" w:hanging="360"/>
      </w:pPr>
      <w:rPr>
        <w:rFonts w:ascii="Symbol" w:hAnsi="Symbol" w:hint="default"/>
      </w:rPr>
    </w:lvl>
    <w:lvl w:ilvl="7" w:tplc="54801D42" w:tentative="1">
      <w:start w:val="1"/>
      <w:numFmt w:val="bullet"/>
      <w:lvlText w:val="o"/>
      <w:lvlJc w:val="left"/>
      <w:pPr>
        <w:tabs>
          <w:tab w:val="num" w:pos="5760"/>
        </w:tabs>
        <w:ind w:left="5760" w:hanging="360"/>
      </w:pPr>
      <w:rPr>
        <w:rFonts w:ascii="Courier New" w:hAnsi="Courier New" w:cs="Courier New" w:hint="default"/>
      </w:rPr>
    </w:lvl>
    <w:lvl w:ilvl="8" w:tplc="BFB62322"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6E3743B"/>
    <w:multiLevelType w:val="singleLevel"/>
    <w:tmpl w:val="FE302F92"/>
    <w:lvl w:ilvl="0">
      <w:start w:val="1"/>
      <w:numFmt w:val="decimal"/>
      <w:pStyle w:val="ScheduleHeading"/>
      <w:lvlText w:val="Schedule %1"/>
      <w:lvlJc w:val="left"/>
      <w:pPr>
        <w:tabs>
          <w:tab w:val="num" w:pos="1080"/>
        </w:tabs>
        <w:ind w:left="360" w:hanging="360"/>
      </w:pPr>
      <w:rPr>
        <w:rFonts w:hint="default"/>
        <w:color w:val="000000"/>
      </w:rPr>
    </w:lvl>
  </w:abstractNum>
  <w:abstractNum w:abstractNumId="25" w15:restartNumberingAfterBreak="0">
    <w:nsid w:val="38130038"/>
    <w:multiLevelType w:val="hybridMultilevel"/>
    <w:tmpl w:val="FF8A0FAE"/>
    <w:lvl w:ilvl="0" w:tplc="9DFE8A9A">
      <w:start w:val="1"/>
      <w:numFmt w:val="bullet"/>
      <w:pStyle w:val="ClauseBullet2"/>
      <w:lvlText w:val=""/>
      <w:lvlJc w:val="left"/>
      <w:pPr>
        <w:ind w:left="1440" w:hanging="360"/>
      </w:pPr>
      <w:rPr>
        <w:rFonts w:ascii="Symbol" w:hAnsi="Symbol" w:hint="default"/>
        <w:color w:val="000000"/>
      </w:rPr>
    </w:lvl>
    <w:lvl w:ilvl="1" w:tplc="B9CA3450" w:tentative="1">
      <w:start w:val="1"/>
      <w:numFmt w:val="bullet"/>
      <w:lvlText w:val="o"/>
      <w:lvlJc w:val="left"/>
      <w:pPr>
        <w:ind w:left="2160" w:hanging="360"/>
      </w:pPr>
      <w:rPr>
        <w:rFonts w:ascii="Courier New" w:hAnsi="Courier New" w:cs="Courier New" w:hint="default"/>
      </w:rPr>
    </w:lvl>
    <w:lvl w:ilvl="2" w:tplc="6540BAAA" w:tentative="1">
      <w:start w:val="1"/>
      <w:numFmt w:val="bullet"/>
      <w:lvlText w:val=""/>
      <w:lvlJc w:val="left"/>
      <w:pPr>
        <w:ind w:left="2880" w:hanging="360"/>
      </w:pPr>
      <w:rPr>
        <w:rFonts w:ascii="Wingdings" w:hAnsi="Wingdings" w:hint="default"/>
      </w:rPr>
    </w:lvl>
    <w:lvl w:ilvl="3" w:tplc="AFC6EE58" w:tentative="1">
      <w:start w:val="1"/>
      <w:numFmt w:val="bullet"/>
      <w:lvlText w:val=""/>
      <w:lvlJc w:val="left"/>
      <w:pPr>
        <w:ind w:left="3600" w:hanging="360"/>
      </w:pPr>
      <w:rPr>
        <w:rFonts w:ascii="Symbol" w:hAnsi="Symbol" w:hint="default"/>
      </w:rPr>
    </w:lvl>
    <w:lvl w:ilvl="4" w:tplc="30E63688" w:tentative="1">
      <w:start w:val="1"/>
      <w:numFmt w:val="bullet"/>
      <w:lvlText w:val="o"/>
      <w:lvlJc w:val="left"/>
      <w:pPr>
        <w:ind w:left="4320" w:hanging="360"/>
      </w:pPr>
      <w:rPr>
        <w:rFonts w:ascii="Courier New" w:hAnsi="Courier New" w:cs="Courier New" w:hint="default"/>
      </w:rPr>
    </w:lvl>
    <w:lvl w:ilvl="5" w:tplc="91481EBC" w:tentative="1">
      <w:start w:val="1"/>
      <w:numFmt w:val="bullet"/>
      <w:lvlText w:val=""/>
      <w:lvlJc w:val="left"/>
      <w:pPr>
        <w:ind w:left="5040" w:hanging="360"/>
      </w:pPr>
      <w:rPr>
        <w:rFonts w:ascii="Wingdings" w:hAnsi="Wingdings" w:hint="default"/>
      </w:rPr>
    </w:lvl>
    <w:lvl w:ilvl="6" w:tplc="8ED4ECE6" w:tentative="1">
      <w:start w:val="1"/>
      <w:numFmt w:val="bullet"/>
      <w:lvlText w:val=""/>
      <w:lvlJc w:val="left"/>
      <w:pPr>
        <w:ind w:left="5760" w:hanging="360"/>
      </w:pPr>
      <w:rPr>
        <w:rFonts w:ascii="Symbol" w:hAnsi="Symbol" w:hint="default"/>
      </w:rPr>
    </w:lvl>
    <w:lvl w:ilvl="7" w:tplc="E2821078" w:tentative="1">
      <w:start w:val="1"/>
      <w:numFmt w:val="bullet"/>
      <w:lvlText w:val="o"/>
      <w:lvlJc w:val="left"/>
      <w:pPr>
        <w:ind w:left="6480" w:hanging="360"/>
      </w:pPr>
      <w:rPr>
        <w:rFonts w:ascii="Courier New" w:hAnsi="Courier New" w:cs="Courier New" w:hint="default"/>
      </w:rPr>
    </w:lvl>
    <w:lvl w:ilvl="8" w:tplc="15C217DC" w:tentative="1">
      <w:start w:val="1"/>
      <w:numFmt w:val="bullet"/>
      <w:lvlText w:val=""/>
      <w:lvlJc w:val="left"/>
      <w:pPr>
        <w:ind w:left="7200" w:hanging="360"/>
      </w:pPr>
      <w:rPr>
        <w:rFonts w:ascii="Wingdings" w:hAnsi="Wingdings" w:hint="default"/>
      </w:rPr>
    </w:lvl>
  </w:abstractNum>
  <w:abstractNum w:abstractNumId="26" w15:restartNumberingAfterBreak="0">
    <w:nsid w:val="402E6DC1"/>
    <w:multiLevelType w:val="hybridMultilevel"/>
    <w:tmpl w:val="8AAEB3E8"/>
    <w:lvl w:ilvl="0" w:tplc="7F7E8E96">
      <w:start w:val="1"/>
      <w:numFmt w:val="bullet"/>
      <w:lvlText w:val=""/>
      <w:lvlJc w:val="left"/>
      <w:pPr>
        <w:ind w:left="720" w:hanging="360"/>
      </w:pPr>
      <w:rPr>
        <w:rFonts w:ascii="Symbol" w:hAnsi="Symbol" w:hint="default"/>
        <w:color w:val="000000"/>
      </w:rPr>
    </w:lvl>
    <w:lvl w:ilvl="1" w:tplc="9DCE865A" w:tentative="1">
      <w:start w:val="1"/>
      <w:numFmt w:val="bullet"/>
      <w:lvlText w:val="o"/>
      <w:lvlJc w:val="left"/>
      <w:pPr>
        <w:ind w:left="1440" w:hanging="360"/>
      </w:pPr>
      <w:rPr>
        <w:rFonts w:ascii="Courier New" w:hAnsi="Courier New" w:cs="Courier New" w:hint="default"/>
      </w:rPr>
    </w:lvl>
    <w:lvl w:ilvl="2" w:tplc="C89C7FFC" w:tentative="1">
      <w:start w:val="1"/>
      <w:numFmt w:val="bullet"/>
      <w:lvlText w:val=""/>
      <w:lvlJc w:val="left"/>
      <w:pPr>
        <w:ind w:left="2160" w:hanging="360"/>
      </w:pPr>
      <w:rPr>
        <w:rFonts w:ascii="Wingdings" w:hAnsi="Wingdings" w:hint="default"/>
      </w:rPr>
    </w:lvl>
    <w:lvl w:ilvl="3" w:tplc="7C2ACD20" w:tentative="1">
      <w:start w:val="1"/>
      <w:numFmt w:val="bullet"/>
      <w:lvlText w:val=""/>
      <w:lvlJc w:val="left"/>
      <w:pPr>
        <w:ind w:left="2880" w:hanging="360"/>
      </w:pPr>
      <w:rPr>
        <w:rFonts w:ascii="Symbol" w:hAnsi="Symbol" w:hint="default"/>
      </w:rPr>
    </w:lvl>
    <w:lvl w:ilvl="4" w:tplc="CA1890FE" w:tentative="1">
      <w:start w:val="1"/>
      <w:numFmt w:val="bullet"/>
      <w:lvlText w:val="o"/>
      <w:lvlJc w:val="left"/>
      <w:pPr>
        <w:ind w:left="3600" w:hanging="360"/>
      </w:pPr>
      <w:rPr>
        <w:rFonts w:ascii="Courier New" w:hAnsi="Courier New" w:cs="Courier New" w:hint="default"/>
      </w:rPr>
    </w:lvl>
    <w:lvl w:ilvl="5" w:tplc="CB2600EA" w:tentative="1">
      <w:start w:val="1"/>
      <w:numFmt w:val="bullet"/>
      <w:lvlText w:val=""/>
      <w:lvlJc w:val="left"/>
      <w:pPr>
        <w:ind w:left="4320" w:hanging="360"/>
      </w:pPr>
      <w:rPr>
        <w:rFonts w:ascii="Wingdings" w:hAnsi="Wingdings" w:hint="default"/>
      </w:rPr>
    </w:lvl>
    <w:lvl w:ilvl="6" w:tplc="89703164" w:tentative="1">
      <w:start w:val="1"/>
      <w:numFmt w:val="bullet"/>
      <w:lvlText w:val=""/>
      <w:lvlJc w:val="left"/>
      <w:pPr>
        <w:ind w:left="5040" w:hanging="360"/>
      </w:pPr>
      <w:rPr>
        <w:rFonts w:ascii="Symbol" w:hAnsi="Symbol" w:hint="default"/>
      </w:rPr>
    </w:lvl>
    <w:lvl w:ilvl="7" w:tplc="2B5019AC" w:tentative="1">
      <w:start w:val="1"/>
      <w:numFmt w:val="bullet"/>
      <w:lvlText w:val="o"/>
      <w:lvlJc w:val="left"/>
      <w:pPr>
        <w:ind w:left="5760" w:hanging="360"/>
      </w:pPr>
      <w:rPr>
        <w:rFonts w:ascii="Courier New" w:hAnsi="Courier New" w:cs="Courier New" w:hint="default"/>
      </w:rPr>
    </w:lvl>
    <w:lvl w:ilvl="8" w:tplc="51EADAE4" w:tentative="1">
      <w:start w:val="1"/>
      <w:numFmt w:val="bullet"/>
      <w:lvlText w:val=""/>
      <w:lvlJc w:val="left"/>
      <w:pPr>
        <w:ind w:left="6480" w:hanging="360"/>
      </w:pPr>
      <w:rPr>
        <w:rFonts w:ascii="Wingdings" w:hAnsi="Wingdings" w:hint="default"/>
      </w:rPr>
    </w:lvl>
  </w:abstractNum>
  <w:abstractNum w:abstractNumId="27" w15:restartNumberingAfterBreak="0">
    <w:nsid w:val="44D67987"/>
    <w:multiLevelType w:val="hybridMultilevel"/>
    <w:tmpl w:val="EBD6FB80"/>
    <w:lvl w:ilvl="0" w:tplc="2884B654">
      <w:start w:val="1"/>
      <w:numFmt w:val="bullet"/>
      <w:pStyle w:val="subclause1Bullet2"/>
      <w:lvlText w:val=""/>
      <w:lvlJc w:val="left"/>
      <w:pPr>
        <w:ind w:left="1440" w:hanging="360"/>
      </w:pPr>
      <w:rPr>
        <w:rFonts w:ascii="Symbol" w:hAnsi="Symbol" w:hint="default"/>
        <w:color w:val="000000"/>
      </w:rPr>
    </w:lvl>
    <w:lvl w:ilvl="1" w:tplc="535A2330" w:tentative="1">
      <w:start w:val="1"/>
      <w:numFmt w:val="bullet"/>
      <w:lvlText w:val="o"/>
      <w:lvlJc w:val="left"/>
      <w:pPr>
        <w:ind w:left="2160" w:hanging="360"/>
      </w:pPr>
      <w:rPr>
        <w:rFonts w:ascii="Courier New" w:hAnsi="Courier New" w:cs="Courier New" w:hint="default"/>
      </w:rPr>
    </w:lvl>
    <w:lvl w:ilvl="2" w:tplc="6CAEE3AA" w:tentative="1">
      <w:start w:val="1"/>
      <w:numFmt w:val="bullet"/>
      <w:lvlText w:val=""/>
      <w:lvlJc w:val="left"/>
      <w:pPr>
        <w:ind w:left="2880" w:hanging="360"/>
      </w:pPr>
      <w:rPr>
        <w:rFonts w:ascii="Wingdings" w:hAnsi="Wingdings" w:hint="default"/>
      </w:rPr>
    </w:lvl>
    <w:lvl w:ilvl="3" w:tplc="A0765DB8" w:tentative="1">
      <w:start w:val="1"/>
      <w:numFmt w:val="bullet"/>
      <w:lvlText w:val=""/>
      <w:lvlJc w:val="left"/>
      <w:pPr>
        <w:ind w:left="3600" w:hanging="360"/>
      </w:pPr>
      <w:rPr>
        <w:rFonts w:ascii="Symbol" w:hAnsi="Symbol" w:hint="default"/>
      </w:rPr>
    </w:lvl>
    <w:lvl w:ilvl="4" w:tplc="CB704504" w:tentative="1">
      <w:start w:val="1"/>
      <w:numFmt w:val="bullet"/>
      <w:lvlText w:val="o"/>
      <w:lvlJc w:val="left"/>
      <w:pPr>
        <w:ind w:left="4320" w:hanging="360"/>
      </w:pPr>
      <w:rPr>
        <w:rFonts w:ascii="Courier New" w:hAnsi="Courier New" w:cs="Courier New" w:hint="default"/>
      </w:rPr>
    </w:lvl>
    <w:lvl w:ilvl="5" w:tplc="FB1E44D6" w:tentative="1">
      <w:start w:val="1"/>
      <w:numFmt w:val="bullet"/>
      <w:lvlText w:val=""/>
      <w:lvlJc w:val="left"/>
      <w:pPr>
        <w:ind w:left="5040" w:hanging="360"/>
      </w:pPr>
      <w:rPr>
        <w:rFonts w:ascii="Wingdings" w:hAnsi="Wingdings" w:hint="default"/>
      </w:rPr>
    </w:lvl>
    <w:lvl w:ilvl="6" w:tplc="560216F8" w:tentative="1">
      <w:start w:val="1"/>
      <w:numFmt w:val="bullet"/>
      <w:lvlText w:val=""/>
      <w:lvlJc w:val="left"/>
      <w:pPr>
        <w:ind w:left="5760" w:hanging="360"/>
      </w:pPr>
      <w:rPr>
        <w:rFonts w:ascii="Symbol" w:hAnsi="Symbol" w:hint="default"/>
      </w:rPr>
    </w:lvl>
    <w:lvl w:ilvl="7" w:tplc="94E6B938" w:tentative="1">
      <w:start w:val="1"/>
      <w:numFmt w:val="bullet"/>
      <w:lvlText w:val="o"/>
      <w:lvlJc w:val="left"/>
      <w:pPr>
        <w:ind w:left="6480" w:hanging="360"/>
      </w:pPr>
      <w:rPr>
        <w:rFonts w:ascii="Courier New" w:hAnsi="Courier New" w:cs="Courier New" w:hint="default"/>
      </w:rPr>
    </w:lvl>
    <w:lvl w:ilvl="8" w:tplc="2296442A" w:tentative="1">
      <w:start w:val="1"/>
      <w:numFmt w:val="bullet"/>
      <w:lvlText w:val=""/>
      <w:lvlJc w:val="left"/>
      <w:pPr>
        <w:ind w:left="7200" w:hanging="360"/>
      </w:pPr>
      <w:rPr>
        <w:rFonts w:ascii="Wingdings" w:hAnsi="Wingdings" w:hint="default"/>
      </w:rPr>
    </w:lvl>
  </w:abstractNum>
  <w:abstractNum w:abstractNumId="28" w15:restartNumberingAfterBreak="0">
    <w:nsid w:val="44E96665"/>
    <w:multiLevelType w:val="hybridMultilevel"/>
    <w:tmpl w:val="EF1E142A"/>
    <w:lvl w:ilvl="0" w:tplc="6032CE40">
      <w:start w:val="1"/>
      <w:numFmt w:val="bullet"/>
      <w:pStyle w:val="subclause3Bullet1"/>
      <w:lvlText w:val=""/>
      <w:lvlJc w:val="left"/>
      <w:pPr>
        <w:ind w:left="2988" w:hanging="360"/>
      </w:pPr>
      <w:rPr>
        <w:rFonts w:ascii="Symbol" w:hAnsi="Symbol" w:hint="default"/>
        <w:color w:val="000000"/>
      </w:rPr>
    </w:lvl>
    <w:lvl w:ilvl="1" w:tplc="1CD6ADF6" w:tentative="1">
      <w:start w:val="1"/>
      <w:numFmt w:val="bullet"/>
      <w:lvlText w:val="o"/>
      <w:lvlJc w:val="left"/>
      <w:pPr>
        <w:ind w:left="3708" w:hanging="360"/>
      </w:pPr>
      <w:rPr>
        <w:rFonts w:ascii="Courier New" w:hAnsi="Courier New" w:cs="Courier New" w:hint="default"/>
      </w:rPr>
    </w:lvl>
    <w:lvl w:ilvl="2" w:tplc="359AA12E" w:tentative="1">
      <w:start w:val="1"/>
      <w:numFmt w:val="bullet"/>
      <w:lvlText w:val=""/>
      <w:lvlJc w:val="left"/>
      <w:pPr>
        <w:ind w:left="4428" w:hanging="360"/>
      </w:pPr>
      <w:rPr>
        <w:rFonts w:ascii="Wingdings" w:hAnsi="Wingdings" w:hint="default"/>
      </w:rPr>
    </w:lvl>
    <w:lvl w:ilvl="3" w:tplc="CD56FED0" w:tentative="1">
      <w:start w:val="1"/>
      <w:numFmt w:val="bullet"/>
      <w:lvlText w:val=""/>
      <w:lvlJc w:val="left"/>
      <w:pPr>
        <w:ind w:left="5148" w:hanging="360"/>
      </w:pPr>
      <w:rPr>
        <w:rFonts w:ascii="Symbol" w:hAnsi="Symbol" w:hint="default"/>
      </w:rPr>
    </w:lvl>
    <w:lvl w:ilvl="4" w:tplc="2E361FE2" w:tentative="1">
      <w:start w:val="1"/>
      <w:numFmt w:val="bullet"/>
      <w:lvlText w:val="o"/>
      <w:lvlJc w:val="left"/>
      <w:pPr>
        <w:ind w:left="5868" w:hanging="360"/>
      </w:pPr>
      <w:rPr>
        <w:rFonts w:ascii="Courier New" w:hAnsi="Courier New" w:cs="Courier New" w:hint="default"/>
      </w:rPr>
    </w:lvl>
    <w:lvl w:ilvl="5" w:tplc="A4F48CA8" w:tentative="1">
      <w:start w:val="1"/>
      <w:numFmt w:val="bullet"/>
      <w:lvlText w:val=""/>
      <w:lvlJc w:val="left"/>
      <w:pPr>
        <w:ind w:left="6588" w:hanging="360"/>
      </w:pPr>
      <w:rPr>
        <w:rFonts w:ascii="Wingdings" w:hAnsi="Wingdings" w:hint="default"/>
      </w:rPr>
    </w:lvl>
    <w:lvl w:ilvl="6" w:tplc="8C949EBA" w:tentative="1">
      <w:start w:val="1"/>
      <w:numFmt w:val="bullet"/>
      <w:lvlText w:val=""/>
      <w:lvlJc w:val="left"/>
      <w:pPr>
        <w:ind w:left="7308" w:hanging="360"/>
      </w:pPr>
      <w:rPr>
        <w:rFonts w:ascii="Symbol" w:hAnsi="Symbol" w:hint="default"/>
      </w:rPr>
    </w:lvl>
    <w:lvl w:ilvl="7" w:tplc="CD2A59D4" w:tentative="1">
      <w:start w:val="1"/>
      <w:numFmt w:val="bullet"/>
      <w:lvlText w:val="o"/>
      <w:lvlJc w:val="left"/>
      <w:pPr>
        <w:ind w:left="8028" w:hanging="360"/>
      </w:pPr>
      <w:rPr>
        <w:rFonts w:ascii="Courier New" w:hAnsi="Courier New" w:cs="Courier New" w:hint="default"/>
      </w:rPr>
    </w:lvl>
    <w:lvl w:ilvl="8" w:tplc="885A6286" w:tentative="1">
      <w:start w:val="1"/>
      <w:numFmt w:val="bullet"/>
      <w:lvlText w:val=""/>
      <w:lvlJc w:val="left"/>
      <w:pPr>
        <w:ind w:left="8748" w:hanging="360"/>
      </w:pPr>
      <w:rPr>
        <w:rFonts w:ascii="Wingdings" w:hAnsi="Wingdings" w:hint="default"/>
      </w:rPr>
    </w:lvl>
  </w:abstractNum>
  <w:abstractNum w:abstractNumId="29" w15:restartNumberingAfterBreak="0">
    <w:nsid w:val="46AC04C6"/>
    <w:multiLevelType w:val="hybridMultilevel"/>
    <w:tmpl w:val="E6C47700"/>
    <w:lvl w:ilvl="0" w:tplc="91C48980">
      <w:start w:val="1"/>
      <w:numFmt w:val="bullet"/>
      <w:pStyle w:val="subclause2Bullet1"/>
      <w:lvlText w:val=""/>
      <w:lvlJc w:val="left"/>
      <w:pPr>
        <w:ind w:left="2279" w:hanging="360"/>
      </w:pPr>
      <w:rPr>
        <w:rFonts w:ascii="Symbol" w:hAnsi="Symbol" w:hint="default"/>
        <w:color w:val="000000"/>
      </w:rPr>
    </w:lvl>
    <w:lvl w:ilvl="1" w:tplc="94B4635A" w:tentative="1">
      <w:start w:val="1"/>
      <w:numFmt w:val="bullet"/>
      <w:lvlText w:val="o"/>
      <w:lvlJc w:val="left"/>
      <w:pPr>
        <w:ind w:left="2999" w:hanging="360"/>
      </w:pPr>
      <w:rPr>
        <w:rFonts w:ascii="Courier New" w:hAnsi="Courier New" w:cs="Courier New" w:hint="default"/>
      </w:rPr>
    </w:lvl>
    <w:lvl w:ilvl="2" w:tplc="0DA84784" w:tentative="1">
      <w:start w:val="1"/>
      <w:numFmt w:val="bullet"/>
      <w:lvlText w:val=""/>
      <w:lvlJc w:val="left"/>
      <w:pPr>
        <w:ind w:left="3719" w:hanging="360"/>
      </w:pPr>
      <w:rPr>
        <w:rFonts w:ascii="Wingdings" w:hAnsi="Wingdings" w:hint="default"/>
      </w:rPr>
    </w:lvl>
    <w:lvl w:ilvl="3" w:tplc="F64A3C38" w:tentative="1">
      <w:start w:val="1"/>
      <w:numFmt w:val="bullet"/>
      <w:lvlText w:val=""/>
      <w:lvlJc w:val="left"/>
      <w:pPr>
        <w:ind w:left="4439" w:hanging="360"/>
      </w:pPr>
      <w:rPr>
        <w:rFonts w:ascii="Symbol" w:hAnsi="Symbol" w:hint="default"/>
      </w:rPr>
    </w:lvl>
    <w:lvl w:ilvl="4" w:tplc="C31A2E10" w:tentative="1">
      <w:start w:val="1"/>
      <w:numFmt w:val="bullet"/>
      <w:lvlText w:val="o"/>
      <w:lvlJc w:val="left"/>
      <w:pPr>
        <w:ind w:left="5159" w:hanging="360"/>
      </w:pPr>
      <w:rPr>
        <w:rFonts w:ascii="Courier New" w:hAnsi="Courier New" w:cs="Courier New" w:hint="default"/>
      </w:rPr>
    </w:lvl>
    <w:lvl w:ilvl="5" w:tplc="9C4A4084" w:tentative="1">
      <w:start w:val="1"/>
      <w:numFmt w:val="bullet"/>
      <w:lvlText w:val=""/>
      <w:lvlJc w:val="left"/>
      <w:pPr>
        <w:ind w:left="5879" w:hanging="360"/>
      </w:pPr>
      <w:rPr>
        <w:rFonts w:ascii="Wingdings" w:hAnsi="Wingdings" w:hint="default"/>
      </w:rPr>
    </w:lvl>
    <w:lvl w:ilvl="6" w:tplc="53660978" w:tentative="1">
      <w:start w:val="1"/>
      <w:numFmt w:val="bullet"/>
      <w:lvlText w:val=""/>
      <w:lvlJc w:val="left"/>
      <w:pPr>
        <w:ind w:left="6599" w:hanging="360"/>
      </w:pPr>
      <w:rPr>
        <w:rFonts w:ascii="Symbol" w:hAnsi="Symbol" w:hint="default"/>
      </w:rPr>
    </w:lvl>
    <w:lvl w:ilvl="7" w:tplc="99F262D0" w:tentative="1">
      <w:start w:val="1"/>
      <w:numFmt w:val="bullet"/>
      <w:lvlText w:val="o"/>
      <w:lvlJc w:val="left"/>
      <w:pPr>
        <w:ind w:left="7319" w:hanging="360"/>
      </w:pPr>
      <w:rPr>
        <w:rFonts w:ascii="Courier New" w:hAnsi="Courier New" w:cs="Courier New" w:hint="default"/>
      </w:rPr>
    </w:lvl>
    <w:lvl w:ilvl="8" w:tplc="5E626AEE" w:tentative="1">
      <w:start w:val="1"/>
      <w:numFmt w:val="bullet"/>
      <w:lvlText w:val=""/>
      <w:lvlJc w:val="left"/>
      <w:pPr>
        <w:ind w:left="8039" w:hanging="360"/>
      </w:pPr>
      <w:rPr>
        <w:rFonts w:ascii="Wingdings" w:hAnsi="Wingdings" w:hint="default"/>
      </w:rPr>
    </w:lvl>
  </w:abstractNum>
  <w:abstractNum w:abstractNumId="30" w15:restartNumberingAfterBreak="0">
    <w:nsid w:val="47F42723"/>
    <w:multiLevelType w:val="hybridMultilevel"/>
    <w:tmpl w:val="C5A02EE6"/>
    <w:lvl w:ilvl="0" w:tplc="D05C081E">
      <w:start w:val="1"/>
      <w:numFmt w:val="bullet"/>
      <w:pStyle w:val="subclause1Bullet1"/>
      <w:lvlText w:val=""/>
      <w:lvlJc w:val="left"/>
      <w:pPr>
        <w:ind w:left="1440" w:hanging="360"/>
      </w:pPr>
      <w:rPr>
        <w:rFonts w:ascii="Symbol" w:hAnsi="Symbol" w:hint="default"/>
        <w:color w:val="000000"/>
      </w:rPr>
    </w:lvl>
    <w:lvl w:ilvl="1" w:tplc="E93400E4" w:tentative="1">
      <w:start w:val="1"/>
      <w:numFmt w:val="bullet"/>
      <w:lvlText w:val="o"/>
      <w:lvlJc w:val="left"/>
      <w:pPr>
        <w:ind w:left="2160" w:hanging="360"/>
      </w:pPr>
      <w:rPr>
        <w:rFonts w:ascii="Courier New" w:hAnsi="Courier New" w:cs="Courier New" w:hint="default"/>
      </w:rPr>
    </w:lvl>
    <w:lvl w:ilvl="2" w:tplc="8DC8BFDE" w:tentative="1">
      <w:start w:val="1"/>
      <w:numFmt w:val="bullet"/>
      <w:lvlText w:val=""/>
      <w:lvlJc w:val="left"/>
      <w:pPr>
        <w:ind w:left="2880" w:hanging="360"/>
      </w:pPr>
      <w:rPr>
        <w:rFonts w:ascii="Wingdings" w:hAnsi="Wingdings" w:hint="default"/>
      </w:rPr>
    </w:lvl>
    <w:lvl w:ilvl="3" w:tplc="5F86FAE4" w:tentative="1">
      <w:start w:val="1"/>
      <w:numFmt w:val="bullet"/>
      <w:lvlText w:val=""/>
      <w:lvlJc w:val="left"/>
      <w:pPr>
        <w:ind w:left="3600" w:hanging="360"/>
      </w:pPr>
      <w:rPr>
        <w:rFonts w:ascii="Symbol" w:hAnsi="Symbol" w:hint="default"/>
      </w:rPr>
    </w:lvl>
    <w:lvl w:ilvl="4" w:tplc="B67A1002" w:tentative="1">
      <w:start w:val="1"/>
      <w:numFmt w:val="bullet"/>
      <w:lvlText w:val="o"/>
      <w:lvlJc w:val="left"/>
      <w:pPr>
        <w:ind w:left="4320" w:hanging="360"/>
      </w:pPr>
      <w:rPr>
        <w:rFonts w:ascii="Courier New" w:hAnsi="Courier New" w:cs="Courier New" w:hint="default"/>
      </w:rPr>
    </w:lvl>
    <w:lvl w:ilvl="5" w:tplc="58DA1C8C" w:tentative="1">
      <w:start w:val="1"/>
      <w:numFmt w:val="bullet"/>
      <w:lvlText w:val=""/>
      <w:lvlJc w:val="left"/>
      <w:pPr>
        <w:ind w:left="5040" w:hanging="360"/>
      </w:pPr>
      <w:rPr>
        <w:rFonts w:ascii="Wingdings" w:hAnsi="Wingdings" w:hint="default"/>
      </w:rPr>
    </w:lvl>
    <w:lvl w:ilvl="6" w:tplc="81FC0974" w:tentative="1">
      <w:start w:val="1"/>
      <w:numFmt w:val="bullet"/>
      <w:lvlText w:val=""/>
      <w:lvlJc w:val="left"/>
      <w:pPr>
        <w:ind w:left="5760" w:hanging="360"/>
      </w:pPr>
      <w:rPr>
        <w:rFonts w:ascii="Symbol" w:hAnsi="Symbol" w:hint="default"/>
      </w:rPr>
    </w:lvl>
    <w:lvl w:ilvl="7" w:tplc="1EB0C838" w:tentative="1">
      <w:start w:val="1"/>
      <w:numFmt w:val="bullet"/>
      <w:lvlText w:val="o"/>
      <w:lvlJc w:val="left"/>
      <w:pPr>
        <w:ind w:left="6480" w:hanging="360"/>
      </w:pPr>
      <w:rPr>
        <w:rFonts w:ascii="Courier New" w:hAnsi="Courier New" w:cs="Courier New" w:hint="default"/>
      </w:rPr>
    </w:lvl>
    <w:lvl w:ilvl="8" w:tplc="8486742C" w:tentative="1">
      <w:start w:val="1"/>
      <w:numFmt w:val="bullet"/>
      <w:lvlText w:val=""/>
      <w:lvlJc w:val="left"/>
      <w:pPr>
        <w:ind w:left="7200" w:hanging="360"/>
      </w:pPr>
      <w:rPr>
        <w:rFonts w:ascii="Wingdings" w:hAnsi="Wingdings" w:hint="default"/>
      </w:rPr>
    </w:lvl>
  </w:abstractNum>
  <w:abstractNum w:abstractNumId="31" w15:restartNumberingAfterBreak="0">
    <w:nsid w:val="55CB0AF0"/>
    <w:multiLevelType w:val="hybridMultilevel"/>
    <w:tmpl w:val="EB98B43A"/>
    <w:lvl w:ilvl="0" w:tplc="2F38EAAE">
      <w:start w:val="1"/>
      <w:numFmt w:val="decimal"/>
      <w:pStyle w:val="LongQuestionPara"/>
      <w:lvlText w:val="%1."/>
      <w:lvlJc w:val="left"/>
      <w:pPr>
        <w:ind w:left="360" w:hanging="360"/>
      </w:pPr>
      <w:rPr>
        <w:rFonts w:hint="default"/>
        <w:b/>
        <w:i w:val="0"/>
        <w:color w:val="000000"/>
        <w:sz w:val="24"/>
      </w:rPr>
    </w:lvl>
    <w:lvl w:ilvl="1" w:tplc="C784A674" w:tentative="1">
      <w:start w:val="1"/>
      <w:numFmt w:val="lowerLetter"/>
      <w:lvlText w:val="%2."/>
      <w:lvlJc w:val="left"/>
      <w:pPr>
        <w:ind w:left="1440" w:hanging="360"/>
      </w:pPr>
    </w:lvl>
    <w:lvl w:ilvl="2" w:tplc="33F83AD6" w:tentative="1">
      <w:start w:val="1"/>
      <w:numFmt w:val="lowerRoman"/>
      <w:lvlText w:val="%3."/>
      <w:lvlJc w:val="right"/>
      <w:pPr>
        <w:ind w:left="2160" w:hanging="180"/>
      </w:pPr>
    </w:lvl>
    <w:lvl w:ilvl="3" w:tplc="A11AD262" w:tentative="1">
      <w:start w:val="1"/>
      <w:numFmt w:val="decimal"/>
      <w:lvlText w:val="%4."/>
      <w:lvlJc w:val="left"/>
      <w:pPr>
        <w:ind w:left="2880" w:hanging="360"/>
      </w:pPr>
    </w:lvl>
    <w:lvl w:ilvl="4" w:tplc="99D6112A" w:tentative="1">
      <w:start w:val="1"/>
      <w:numFmt w:val="lowerLetter"/>
      <w:lvlText w:val="%5."/>
      <w:lvlJc w:val="left"/>
      <w:pPr>
        <w:ind w:left="3600" w:hanging="360"/>
      </w:pPr>
    </w:lvl>
    <w:lvl w:ilvl="5" w:tplc="CE263D06" w:tentative="1">
      <w:start w:val="1"/>
      <w:numFmt w:val="lowerRoman"/>
      <w:lvlText w:val="%6."/>
      <w:lvlJc w:val="right"/>
      <w:pPr>
        <w:ind w:left="4320" w:hanging="180"/>
      </w:pPr>
    </w:lvl>
    <w:lvl w:ilvl="6" w:tplc="96163010" w:tentative="1">
      <w:start w:val="1"/>
      <w:numFmt w:val="decimal"/>
      <w:lvlText w:val="%7."/>
      <w:lvlJc w:val="left"/>
      <w:pPr>
        <w:ind w:left="5040" w:hanging="360"/>
      </w:pPr>
    </w:lvl>
    <w:lvl w:ilvl="7" w:tplc="40C8C040" w:tentative="1">
      <w:start w:val="1"/>
      <w:numFmt w:val="lowerLetter"/>
      <w:lvlText w:val="%8."/>
      <w:lvlJc w:val="left"/>
      <w:pPr>
        <w:ind w:left="5760" w:hanging="360"/>
      </w:pPr>
    </w:lvl>
    <w:lvl w:ilvl="8" w:tplc="CE1EEEA0" w:tentative="1">
      <w:start w:val="1"/>
      <w:numFmt w:val="lowerRoman"/>
      <w:lvlText w:val="%9."/>
      <w:lvlJc w:val="right"/>
      <w:pPr>
        <w:ind w:left="6480" w:hanging="180"/>
      </w:pPr>
    </w:lvl>
  </w:abstractNum>
  <w:abstractNum w:abstractNumId="32" w15:restartNumberingAfterBreak="0">
    <w:nsid w:val="573841A3"/>
    <w:multiLevelType w:val="multilevel"/>
    <w:tmpl w:val="08090029"/>
    <w:lvl w:ilvl="0">
      <w:start w:val="1"/>
      <w:numFmt w:val="decimal"/>
      <w:pStyle w:val="Heading1"/>
      <w:suff w:val="space"/>
      <w:lvlText w:val="Chapter %1"/>
      <w:lvlJc w:val="left"/>
      <w:pPr>
        <w:ind w:left="0" w:firstLine="0"/>
      </w:pPr>
      <w:rPr>
        <w:color w:val="000000"/>
      </w:r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33" w15:restartNumberingAfterBreak="0">
    <w:nsid w:val="5D206610"/>
    <w:multiLevelType w:val="hybridMultilevel"/>
    <w:tmpl w:val="31700046"/>
    <w:lvl w:ilvl="0" w:tplc="DDCEE3B6">
      <w:start w:val="1"/>
      <w:numFmt w:val="lowerLetter"/>
      <w:lvlText w:val="(%1)"/>
      <w:lvlJc w:val="left"/>
      <w:pPr>
        <w:ind w:left="1440" w:hanging="360"/>
      </w:pPr>
      <w:rPr>
        <w:rFonts w:hint="default"/>
        <w:color w:val="000000"/>
      </w:rPr>
    </w:lvl>
    <w:lvl w:ilvl="1" w:tplc="7616C5D2" w:tentative="1">
      <w:start w:val="1"/>
      <w:numFmt w:val="lowerLetter"/>
      <w:lvlText w:val="%2."/>
      <w:lvlJc w:val="left"/>
      <w:pPr>
        <w:ind w:left="2160" w:hanging="360"/>
      </w:pPr>
    </w:lvl>
    <w:lvl w:ilvl="2" w:tplc="99B2BC86" w:tentative="1">
      <w:start w:val="1"/>
      <w:numFmt w:val="lowerRoman"/>
      <w:lvlText w:val="%3."/>
      <w:lvlJc w:val="right"/>
      <w:pPr>
        <w:ind w:left="2880" w:hanging="180"/>
      </w:pPr>
    </w:lvl>
    <w:lvl w:ilvl="3" w:tplc="030A150E" w:tentative="1">
      <w:start w:val="1"/>
      <w:numFmt w:val="decimal"/>
      <w:lvlText w:val="%4."/>
      <w:lvlJc w:val="left"/>
      <w:pPr>
        <w:ind w:left="3600" w:hanging="360"/>
      </w:pPr>
    </w:lvl>
    <w:lvl w:ilvl="4" w:tplc="2940EEFE" w:tentative="1">
      <w:start w:val="1"/>
      <w:numFmt w:val="lowerLetter"/>
      <w:lvlText w:val="%5."/>
      <w:lvlJc w:val="left"/>
      <w:pPr>
        <w:ind w:left="4320" w:hanging="360"/>
      </w:pPr>
    </w:lvl>
    <w:lvl w:ilvl="5" w:tplc="1C2E613E" w:tentative="1">
      <w:start w:val="1"/>
      <w:numFmt w:val="lowerRoman"/>
      <w:lvlText w:val="%6."/>
      <w:lvlJc w:val="right"/>
      <w:pPr>
        <w:ind w:left="5040" w:hanging="180"/>
      </w:pPr>
    </w:lvl>
    <w:lvl w:ilvl="6" w:tplc="E9C25372" w:tentative="1">
      <w:start w:val="1"/>
      <w:numFmt w:val="decimal"/>
      <w:lvlText w:val="%7."/>
      <w:lvlJc w:val="left"/>
      <w:pPr>
        <w:ind w:left="5760" w:hanging="360"/>
      </w:pPr>
    </w:lvl>
    <w:lvl w:ilvl="7" w:tplc="9C9C88D4" w:tentative="1">
      <w:start w:val="1"/>
      <w:numFmt w:val="lowerLetter"/>
      <w:lvlText w:val="%8."/>
      <w:lvlJc w:val="left"/>
      <w:pPr>
        <w:ind w:left="6480" w:hanging="360"/>
      </w:pPr>
    </w:lvl>
    <w:lvl w:ilvl="8" w:tplc="CC88F5FA" w:tentative="1">
      <w:start w:val="1"/>
      <w:numFmt w:val="lowerRoman"/>
      <w:lvlText w:val="%9."/>
      <w:lvlJc w:val="right"/>
      <w:pPr>
        <w:ind w:left="7200" w:hanging="180"/>
      </w:pPr>
    </w:lvl>
  </w:abstractNum>
  <w:abstractNum w:abstractNumId="34" w15:restartNumberingAfterBreak="0">
    <w:nsid w:val="61071422"/>
    <w:multiLevelType w:val="hybridMultilevel"/>
    <w:tmpl w:val="59B858D8"/>
    <w:lvl w:ilvl="0" w:tplc="6C94DB08">
      <w:start w:val="1"/>
      <w:numFmt w:val="bullet"/>
      <w:pStyle w:val="ClauseBullet1"/>
      <w:lvlText w:val=""/>
      <w:lvlJc w:val="left"/>
      <w:pPr>
        <w:ind w:left="1080" w:hanging="360"/>
      </w:pPr>
      <w:rPr>
        <w:rFonts w:ascii="Symbol" w:hAnsi="Symbol" w:hint="default"/>
        <w:color w:val="000000"/>
      </w:rPr>
    </w:lvl>
    <w:lvl w:ilvl="1" w:tplc="6554B2A0" w:tentative="1">
      <w:start w:val="1"/>
      <w:numFmt w:val="bullet"/>
      <w:lvlText w:val="o"/>
      <w:lvlJc w:val="left"/>
      <w:pPr>
        <w:ind w:left="1800" w:hanging="360"/>
      </w:pPr>
      <w:rPr>
        <w:rFonts w:ascii="Courier New" w:hAnsi="Courier New" w:cs="Courier New" w:hint="default"/>
      </w:rPr>
    </w:lvl>
    <w:lvl w:ilvl="2" w:tplc="5C24457A" w:tentative="1">
      <w:start w:val="1"/>
      <w:numFmt w:val="bullet"/>
      <w:lvlText w:val=""/>
      <w:lvlJc w:val="left"/>
      <w:pPr>
        <w:ind w:left="2520" w:hanging="360"/>
      </w:pPr>
      <w:rPr>
        <w:rFonts w:ascii="Wingdings" w:hAnsi="Wingdings" w:hint="default"/>
      </w:rPr>
    </w:lvl>
    <w:lvl w:ilvl="3" w:tplc="F01AA008" w:tentative="1">
      <w:start w:val="1"/>
      <w:numFmt w:val="bullet"/>
      <w:lvlText w:val=""/>
      <w:lvlJc w:val="left"/>
      <w:pPr>
        <w:ind w:left="3240" w:hanging="360"/>
      </w:pPr>
      <w:rPr>
        <w:rFonts w:ascii="Symbol" w:hAnsi="Symbol" w:hint="default"/>
      </w:rPr>
    </w:lvl>
    <w:lvl w:ilvl="4" w:tplc="CDAE4146" w:tentative="1">
      <w:start w:val="1"/>
      <w:numFmt w:val="bullet"/>
      <w:lvlText w:val="o"/>
      <w:lvlJc w:val="left"/>
      <w:pPr>
        <w:ind w:left="3960" w:hanging="360"/>
      </w:pPr>
      <w:rPr>
        <w:rFonts w:ascii="Courier New" w:hAnsi="Courier New" w:cs="Courier New" w:hint="default"/>
      </w:rPr>
    </w:lvl>
    <w:lvl w:ilvl="5" w:tplc="64520534" w:tentative="1">
      <w:start w:val="1"/>
      <w:numFmt w:val="bullet"/>
      <w:lvlText w:val=""/>
      <w:lvlJc w:val="left"/>
      <w:pPr>
        <w:ind w:left="4680" w:hanging="360"/>
      </w:pPr>
      <w:rPr>
        <w:rFonts w:ascii="Wingdings" w:hAnsi="Wingdings" w:hint="default"/>
      </w:rPr>
    </w:lvl>
    <w:lvl w:ilvl="6" w:tplc="E99206F0" w:tentative="1">
      <w:start w:val="1"/>
      <w:numFmt w:val="bullet"/>
      <w:lvlText w:val=""/>
      <w:lvlJc w:val="left"/>
      <w:pPr>
        <w:ind w:left="5400" w:hanging="360"/>
      </w:pPr>
      <w:rPr>
        <w:rFonts w:ascii="Symbol" w:hAnsi="Symbol" w:hint="default"/>
      </w:rPr>
    </w:lvl>
    <w:lvl w:ilvl="7" w:tplc="782A3FA8" w:tentative="1">
      <w:start w:val="1"/>
      <w:numFmt w:val="bullet"/>
      <w:lvlText w:val="o"/>
      <w:lvlJc w:val="left"/>
      <w:pPr>
        <w:ind w:left="6120" w:hanging="360"/>
      </w:pPr>
      <w:rPr>
        <w:rFonts w:ascii="Courier New" w:hAnsi="Courier New" w:cs="Courier New" w:hint="default"/>
      </w:rPr>
    </w:lvl>
    <w:lvl w:ilvl="8" w:tplc="A3EC1B4E" w:tentative="1">
      <w:start w:val="1"/>
      <w:numFmt w:val="bullet"/>
      <w:lvlText w:val=""/>
      <w:lvlJc w:val="left"/>
      <w:pPr>
        <w:ind w:left="6840" w:hanging="360"/>
      </w:pPr>
      <w:rPr>
        <w:rFonts w:ascii="Wingdings" w:hAnsi="Wingdings" w:hint="default"/>
      </w:rPr>
    </w:lvl>
  </w:abstractNum>
  <w:abstractNum w:abstractNumId="35" w15:restartNumberingAfterBreak="0">
    <w:nsid w:val="642371CD"/>
    <w:multiLevelType w:val="hybridMultilevel"/>
    <w:tmpl w:val="3B76A654"/>
    <w:lvl w:ilvl="0" w:tplc="79D8BB4C">
      <w:start w:val="1"/>
      <w:numFmt w:val="bullet"/>
      <w:pStyle w:val="subclause3Bullet2"/>
      <w:lvlText w:val=""/>
      <w:lvlJc w:val="left"/>
      <w:pPr>
        <w:ind w:left="3748" w:hanging="360"/>
      </w:pPr>
      <w:rPr>
        <w:rFonts w:ascii="Symbol" w:hAnsi="Symbol" w:hint="default"/>
        <w:color w:val="000000"/>
      </w:rPr>
    </w:lvl>
    <w:lvl w:ilvl="1" w:tplc="C6A65B6C" w:tentative="1">
      <w:start w:val="1"/>
      <w:numFmt w:val="bullet"/>
      <w:lvlText w:val="o"/>
      <w:lvlJc w:val="left"/>
      <w:pPr>
        <w:ind w:left="4468" w:hanging="360"/>
      </w:pPr>
      <w:rPr>
        <w:rFonts w:ascii="Courier New" w:hAnsi="Courier New" w:cs="Courier New" w:hint="default"/>
      </w:rPr>
    </w:lvl>
    <w:lvl w:ilvl="2" w:tplc="BE52F42C" w:tentative="1">
      <w:start w:val="1"/>
      <w:numFmt w:val="bullet"/>
      <w:lvlText w:val=""/>
      <w:lvlJc w:val="left"/>
      <w:pPr>
        <w:ind w:left="5188" w:hanging="360"/>
      </w:pPr>
      <w:rPr>
        <w:rFonts w:ascii="Wingdings" w:hAnsi="Wingdings" w:hint="default"/>
      </w:rPr>
    </w:lvl>
    <w:lvl w:ilvl="3" w:tplc="F4FAE22C" w:tentative="1">
      <w:start w:val="1"/>
      <w:numFmt w:val="bullet"/>
      <w:lvlText w:val=""/>
      <w:lvlJc w:val="left"/>
      <w:pPr>
        <w:ind w:left="5908" w:hanging="360"/>
      </w:pPr>
      <w:rPr>
        <w:rFonts w:ascii="Symbol" w:hAnsi="Symbol" w:hint="default"/>
      </w:rPr>
    </w:lvl>
    <w:lvl w:ilvl="4" w:tplc="5CB2B156" w:tentative="1">
      <w:start w:val="1"/>
      <w:numFmt w:val="bullet"/>
      <w:lvlText w:val="o"/>
      <w:lvlJc w:val="left"/>
      <w:pPr>
        <w:ind w:left="6628" w:hanging="360"/>
      </w:pPr>
      <w:rPr>
        <w:rFonts w:ascii="Courier New" w:hAnsi="Courier New" w:cs="Courier New" w:hint="default"/>
      </w:rPr>
    </w:lvl>
    <w:lvl w:ilvl="5" w:tplc="E7F43CEC" w:tentative="1">
      <w:start w:val="1"/>
      <w:numFmt w:val="bullet"/>
      <w:lvlText w:val=""/>
      <w:lvlJc w:val="left"/>
      <w:pPr>
        <w:ind w:left="7348" w:hanging="360"/>
      </w:pPr>
      <w:rPr>
        <w:rFonts w:ascii="Wingdings" w:hAnsi="Wingdings" w:hint="default"/>
      </w:rPr>
    </w:lvl>
    <w:lvl w:ilvl="6" w:tplc="A0A0B3E2" w:tentative="1">
      <w:start w:val="1"/>
      <w:numFmt w:val="bullet"/>
      <w:lvlText w:val=""/>
      <w:lvlJc w:val="left"/>
      <w:pPr>
        <w:ind w:left="8068" w:hanging="360"/>
      </w:pPr>
      <w:rPr>
        <w:rFonts w:ascii="Symbol" w:hAnsi="Symbol" w:hint="default"/>
      </w:rPr>
    </w:lvl>
    <w:lvl w:ilvl="7" w:tplc="6374E108" w:tentative="1">
      <w:start w:val="1"/>
      <w:numFmt w:val="bullet"/>
      <w:lvlText w:val="o"/>
      <w:lvlJc w:val="left"/>
      <w:pPr>
        <w:ind w:left="8788" w:hanging="360"/>
      </w:pPr>
      <w:rPr>
        <w:rFonts w:ascii="Courier New" w:hAnsi="Courier New" w:cs="Courier New" w:hint="default"/>
      </w:rPr>
    </w:lvl>
    <w:lvl w:ilvl="8" w:tplc="ADA87502" w:tentative="1">
      <w:start w:val="1"/>
      <w:numFmt w:val="bullet"/>
      <w:lvlText w:val=""/>
      <w:lvlJc w:val="left"/>
      <w:pPr>
        <w:ind w:left="9508" w:hanging="360"/>
      </w:pPr>
      <w:rPr>
        <w:rFonts w:ascii="Wingdings" w:hAnsi="Wingdings" w:hint="default"/>
      </w:rPr>
    </w:lvl>
  </w:abstractNum>
  <w:abstractNum w:abstractNumId="36" w15:restartNumberingAfterBreak="0">
    <w:nsid w:val="66966731"/>
    <w:multiLevelType w:val="multilevel"/>
    <w:tmpl w:val="4112B09A"/>
    <w:lvl w:ilvl="0">
      <w:start w:val="1"/>
      <w:numFmt w:val="upperLetter"/>
      <w:pStyle w:val="Background"/>
      <w:lvlText w:val="(%1)"/>
      <w:lvlJc w:val="left"/>
      <w:pPr>
        <w:tabs>
          <w:tab w:val="num" w:pos="720"/>
        </w:tabs>
        <w:ind w:left="720" w:hanging="720"/>
      </w:pPr>
      <w:rPr>
        <w:b w:val="0"/>
        <w:i w:val="0"/>
        <w:caps/>
        <w:color w:val="000000"/>
        <w:sz w:val="20"/>
      </w:rPr>
    </w:lvl>
    <w:lvl w:ilvl="1">
      <w:start w:val="1"/>
      <w:numFmt w:val="lowerLetter"/>
      <w:pStyle w:val="BackgroundSubclause1"/>
      <w:lvlText w:val="(%2)"/>
      <w:lvlJc w:val="left"/>
      <w:pPr>
        <w:tabs>
          <w:tab w:val="num" w:pos="1555"/>
        </w:tabs>
        <w:ind w:left="1555" w:hanging="561"/>
      </w:pPr>
      <w:rPr>
        <w:b w:val="0"/>
        <w:i w:val="0"/>
        <w:caps w:val="0"/>
        <w:sz w:val="20"/>
      </w:rPr>
    </w:lvl>
    <w:lvl w:ilvl="2">
      <w:start w:val="1"/>
      <w:numFmt w:val="lowerLetter"/>
      <w:lvlText w:val="(%3)"/>
      <w:lvlJc w:val="left"/>
      <w:pPr>
        <w:tabs>
          <w:tab w:val="num" w:pos="1559"/>
        </w:tabs>
        <w:ind w:left="1559" w:hanging="567"/>
      </w:pPr>
      <w:rPr>
        <w:b w:val="0"/>
        <w:i w:val="0"/>
        <w:sz w:val="20"/>
      </w:rPr>
    </w:lvl>
    <w:lvl w:ilvl="3">
      <w:start w:val="1"/>
      <w:numFmt w:val="lowerRoman"/>
      <w:pStyle w:val="BackgroundSubclause2"/>
      <w:lvlText w:val="(%4)"/>
      <w:lvlJc w:val="left"/>
      <w:pPr>
        <w:tabs>
          <w:tab w:val="num" w:pos="2421"/>
        </w:tabs>
        <w:ind w:left="2268" w:hanging="567"/>
      </w:pPr>
      <w:rPr>
        <w:b w:val="0"/>
        <w:i w:val="0"/>
        <w:sz w:val="20"/>
      </w:rPr>
    </w:lvl>
    <w:lvl w:ilvl="4">
      <w:start w:val="1"/>
      <w:numFmt w:val="upperLetter"/>
      <w:lvlText w:val="(%5)"/>
      <w:lvlJc w:val="left"/>
      <w:pPr>
        <w:tabs>
          <w:tab w:val="num" w:pos="2880"/>
        </w:tabs>
        <w:ind w:left="2880" w:hanging="720"/>
      </w:pPr>
      <w:rPr>
        <w:b w:val="0"/>
        <w:i w:val="0"/>
        <w:sz w:val="22"/>
      </w:rPr>
    </w:lvl>
    <w:lvl w:ilvl="5">
      <w:start w:val="1"/>
      <w:numFmt w:val="decimal"/>
      <w:lvlText w:val="%6."/>
      <w:lvlJc w:val="left"/>
      <w:pPr>
        <w:tabs>
          <w:tab w:val="num" w:pos="3600"/>
        </w:tabs>
        <w:ind w:left="3600" w:hanging="720"/>
      </w:pPr>
      <w:rPr>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b w:val="0"/>
        <w:i w:val="0"/>
        <w:sz w:val="22"/>
      </w:rPr>
    </w:lvl>
    <w:lvl w:ilvl="8">
      <w:start w:val="1"/>
      <w:numFmt w:val="decimal"/>
      <w:lvlText w:val="%9."/>
      <w:lvlJc w:val="left"/>
      <w:pPr>
        <w:tabs>
          <w:tab w:val="num" w:pos="5760"/>
        </w:tabs>
        <w:ind w:left="5760" w:hanging="720"/>
      </w:pPr>
      <w:rPr>
        <w:b w:val="0"/>
        <w:i w:val="0"/>
        <w:sz w:val="22"/>
      </w:rPr>
    </w:lvl>
  </w:abstractNum>
  <w:abstractNum w:abstractNumId="37" w15:restartNumberingAfterBreak="0">
    <w:nsid w:val="6A14466B"/>
    <w:multiLevelType w:val="hybridMultilevel"/>
    <w:tmpl w:val="2402A666"/>
    <w:lvl w:ilvl="0" w:tplc="15F2645A">
      <w:start w:val="1"/>
      <w:numFmt w:val="bullet"/>
      <w:pStyle w:val="BulletList1"/>
      <w:lvlText w:val="·"/>
      <w:lvlJc w:val="left"/>
      <w:pPr>
        <w:tabs>
          <w:tab w:val="num" w:pos="360"/>
        </w:tabs>
        <w:ind w:left="360" w:hanging="360"/>
      </w:pPr>
      <w:rPr>
        <w:rFonts w:ascii="Symbol" w:hAnsi="Symbol" w:hint="default"/>
        <w:color w:val="000000"/>
      </w:rPr>
    </w:lvl>
    <w:lvl w:ilvl="1" w:tplc="38A0DA9A" w:tentative="1">
      <w:start w:val="1"/>
      <w:numFmt w:val="bullet"/>
      <w:lvlText w:val="·"/>
      <w:lvlJc w:val="left"/>
      <w:pPr>
        <w:tabs>
          <w:tab w:val="num" w:pos="1440"/>
        </w:tabs>
        <w:ind w:left="1440" w:hanging="360"/>
      </w:pPr>
      <w:rPr>
        <w:rFonts w:ascii="Symbol" w:hAnsi="Symbol" w:hint="default"/>
      </w:rPr>
    </w:lvl>
    <w:lvl w:ilvl="2" w:tplc="EE1663B6" w:tentative="1">
      <w:start w:val="1"/>
      <w:numFmt w:val="bullet"/>
      <w:lvlText w:val="·"/>
      <w:lvlJc w:val="left"/>
      <w:pPr>
        <w:tabs>
          <w:tab w:val="num" w:pos="2160"/>
        </w:tabs>
        <w:ind w:left="2160" w:hanging="360"/>
      </w:pPr>
      <w:rPr>
        <w:rFonts w:ascii="Symbol" w:hAnsi="Symbol" w:hint="default"/>
      </w:rPr>
    </w:lvl>
    <w:lvl w:ilvl="3" w:tplc="A9F0CF68" w:tentative="1">
      <w:start w:val="1"/>
      <w:numFmt w:val="bullet"/>
      <w:lvlText w:val="·"/>
      <w:lvlJc w:val="left"/>
      <w:pPr>
        <w:tabs>
          <w:tab w:val="num" w:pos="2880"/>
        </w:tabs>
        <w:ind w:left="2880" w:hanging="360"/>
      </w:pPr>
      <w:rPr>
        <w:rFonts w:ascii="Symbol" w:hAnsi="Symbol" w:hint="default"/>
      </w:rPr>
    </w:lvl>
    <w:lvl w:ilvl="4" w:tplc="416071DE" w:tentative="1">
      <w:start w:val="1"/>
      <w:numFmt w:val="bullet"/>
      <w:lvlText w:val="o"/>
      <w:lvlJc w:val="left"/>
      <w:pPr>
        <w:tabs>
          <w:tab w:val="num" w:pos="3600"/>
        </w:tabs>
        <w:ind w:left="3600" w:hanging="360"/>
      </w:pPr>
      <w:rPr>
        <w:rFonts w:ascii="Courier New" w:hAnsi="Courier New" w:hint="default"/>
      </w:rPr>
    </w:lvl>
    <w:lvl w:ilvl="5" w:tplc="B36E07B4" w:tentative="1">
      <w:start w:val="1"/>
      <w:numFmt w:val="bullet"/>
      <w:lvlText w:val="§"/>
      <w:lvlJc w:val="left"/>
      <w:pPr>
        <w:tabs>
          <w:tab w:val="num" w:pos="4320"/>
        </w:tabs>
        <w:ind w:left="4320" w:hanging="360"/>
      </w:pPr>
      <w:rPr>
        <w:rFonts w:ascii="Wingdings" w:hAnsi="Wingdings" w:hint="default"/>
      </w:rPr>
    </w:lvl>
    <w:lvl w:ilvl="6" w:tplc="F82AE4A8" w:tentative="1">
      <w:start w:val="1"/>
      <w:numFmt w:val="bullet"/>
      <w:lvlText w:val="·"/>
      <w:lvlJc w:val="left"/>
      <w:pPr>
        <w:tabs>
          <w:tab w:val="num" w:pos="5040"/>
        </w:tabs>
        <w:ind w:left="5040" w:hanging="360"/>
      </w:pPr>
      <w:rPr>
        <w:rFonts w:ascii="Symbol" w:hAnsi="Symbol" w:hint="default"/>
      </w:rPr>
    </w:lvl>
    <w:lvl w:ilvl="7" w:tplc="B6A0992C" w:tentative="1">
      <w:start w:val="1"/>
      <w:numFmt w:val="bullet"/>
      <w:lvlText w:val="o"/>
      <w:lvlJc w:val="left"/>
      <w:pPr>
        <w:tabs>
          <w:tab w:val="num" w:pos="5760"/>
        </w:tabs>
        <w:ind w:left="5760" w:hanging="360"/>
      </w:pPr>
      <w:rPr>
        <w:rFonts w:ascii="Courier New" w:hAnsi="Courier New" w:hint="default"/>
      </w:rPr>
    </w:lvl>
    <w:lvl w:ilvl="8" w:tplc="A8DCAE78"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ADF4683"/>
    <w:multiLevelType w:val="multilevel"/>
    <w:tmpl w:val="DD28FDF4"/>
    <w:lvl w:ilvl="0">
      <w:start w:val="1"/>
      <w:numFmt w:val="none"/>
      <w:pStyle w:val="DefinedTermPara"/>
      <w:lvlText w:val="%1"/>
      <w:lvlJc w:val="left"/>
      <w:pPr>
        <w:tabs>
          <w:tab w:val="num" w:pos="720"/>
        </w:tabs>
        <w:ind w:left="720" w:hanging="720"/>
      </w:pPr>
      <w:rPr>
        <w:rFonts w:hint="default"/>
        <w:color w:val="000000"/>
      </w:rPr>
    </w:lvl>
    <w:lvl w:ilvl="1">
      <w:start w:val="1"/>
      <w:numFmt w:val="lowerLetter"/>
      <w:pStyle w:val="DefinedTermNumber"/>
      <w:lvlText w:val="%1%2)"/>
      <w:lvlJc w:val="left"/>
      <w:pPr>
        <w:tabs>
          <w:tab w:val="num" w:pos="1554"/>
        </w:tabs>
        <w:ind w:left="1554" w:firstLine="0"/>
      </w:pPr>
      <w:rPr>
        <w:rFonts w:hint="default"/>
      </w:rPr>
    </w:lvl>
    <w:lvl w:ilvl="2">
      <w:start w:val="1"/>
      <w:numFmt w:val="none"/>
      <w:lvlText w:val=""/>
      <w:lvlJc w:val="left"/>
      <w:pPr>
        <w:tabs>
          <w:tab w:val="num" w:pos="1555"/>
        </w:tabs>
        <w:ind w:left="1555" w:hanging="561"/>
      </w:pPr>
      <w:rPr>
        <w:rFonts w:hint="default"/>
      </w:rPr>
    </w:lvl>
    <w:lvl w:ilvl="3">
      <w:start w:val="1"/>
      <w:numFmt w:val="lowerRoman"/>
      <w:lvlText w:val="(%4)"/>
      <w:lvlJc w:val="left"/>
      <w:pPr>
        <w:tabs>
          <w:tab w:val="num" w:pos="2419"/>
        </w:tabs>
        <w:ind w:left="2275" w:hanging="576"/>
      </w:pPr>
      <w:rPr>
        <w:rFonts w:hint="default"/>
        <w:sz w:val="20"/>
      </w:rPr>
    </w:lvl>
    <w:lvl w:ilvl="4">
      <w:start w:val="1"/>
      <w:numFmt w:val="upperLetter"/>
      <w:lvlText w:val="(%5)"/>
      <w:lvlJc w:val="left"/>
      <w:pPr>
        <w:tabs>
          <w:tab w:val="num" w:pos="2880"/>
        </w:tabs>
        <w:ind w:left="288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771777AD"/>
    <w:multiLevelType w:val="multilevel"/>
    <w:tmpl w:val="019C28B4"/>
    <w:lvl w:ilvl="0">
      <w:start w:val="1"/>
      <w:numFmt w:val="decimal"/>
      <w:pStyle w:val="Parties"/>
      <w:lvlText w:val="(%1)"/>
      <w:lvlJc w:val="left"/>
      <w:pPr>
        <w:tabs>
          <w:tab w:val="num" w:pos="720"/>
        </w:tabs>
        <w:ind w:left="720" w:hanging="720"/>
      </w:pPr>
      <w:rPr>
        <w:color w:val="00000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0" w15:restartNumberingAfterBreak="0">
    <w:nsid w:val="77D61255"/>
    <w:multiLevelType w:val="multilevel"/>
    <w:tmpl w:val="A468D63A"/>
    <w:lvl w:ilvl="0">
      <w:start w:val="1"/>
      <w:numFmt w:val="decimal"/>
      <w:lvlText w:val="%1."/>
      <w:lvlJc w:val="left"/>
      <w:pPr>
        <w:tabs>
          <w:tab w:val="num" w:pos="720"/>
        </w:tabs>
        <w:ind w:left="720" w:hanging="720"/>
      </w:pPr>
      <w:rPr>
        <w:b/>
        <w:i w:val="0"/>
        <w:caps/>
        <w:color w:val="000000"/>
        <w:sz w:val="20"/>
      </w:rPr>
    </w:lvl>
    <w:lvl w:ilvl="1">
      <w:start w:val="1"/>
      <w:numFmt w:val="decimal"/>
      <w:lvlText w:val="%1.%2"/>
      <w:lvlJc w:val="left"/>
      <w:pPr>
        <w:tabs>
          <w:tab w:val="num" w:pos="720"/>
        </w:tabs>
        <w:ind w:left="720" w:hanging="720"/>
      </w:pPr>
      <w:rPr>
        <w:b w:val="0"/>
        <w:i w:val="0"/>
        <w:caps w:val="0"/>
        <w:sz w:val="20"/>
      </w:rPr>
    </w:lvl>
    <w:lvl w:ilvl="2">
      <w:start w:val="1"/>
      <w:numFmt w:val="lowerLetter"/>
      <w:lvlText w:val="(%3)"/>
      <w:lvlJc w:val="left"/>
      <w:pPr>
        <w:tabs>
          <w:tab w:val="num" w:pos="1559"/>
        </w:tabs>
        <w:ind w:left="1559" w:hanging="567"/>
      </w:pPr>
      <w:rPr>
        <w:b w:val="0"/>
        <w:i w:val="0"/>
        <w:sz w:val="20"/>
      </w:rPr>
    </w:lvl>
    <w:lvl w:ilvl="3">
      <w:start w:val="1"/>
      <w:numFmt w:val="lowerRoman"/>
      <w:lvlText w:val="(%4)"/>
      <w:lvlJc w:val="left"/>
      <w:pPr>
        <w:tabs>
          <w:tab w:val="num" w:pos="2421"/>
        </w:tabs>
        <w:ind w:left="2268" w:hanging="567"/>
      </w:pPr>
      <w:rPr>
        <w:b w:val="0"/>
        <w:i w:val="0"/>
        <w:sz w:val="20"/>
      </w:rPr>
    </w:lvl>
    <w:lvl w:ilvl="4">
      <w:start w:val="1"/>
      <w:numFmt w:val="upperLetter"/>
      <w:lvlText w:val="(%5)"/>
      <w:lvlJc w:val="left"/>
      <w:pPr>
        <w:tabs>
          <w:tab w:val="num" w:pos="2880"/>
        </w:tabs>
        <w:ind w:left="2880" w:hanging="720"/>
      </w:pPr>
      <w:rPr>
        <w:b w:val="0"/>
        <w:i w:val="0"/>
        <w:sz w:val="22"/>
      </w:rPr>
    </w:lvl>
    <w:lvl w:ilvl="5">
      <w:start w:val="1"/>
      <w:numFmt w:val="decimal"/>
      <w:lvlText w:val="%6."/>
      <w:lvlJc w:val="left"/>
      <w:pPr>
        <w:tabs>
          <w:tab w:val="num" w:pos="3600"/>
        </w:tabs>
        <w:ind w:left="3600" w:hanging="720"/>
      </w:pPr>
      <w:rPr>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b w:val="0"/>
        <w:i w:val="0"/>
        <w:sz w:val="22"/>
      </w:rPr>
    </w:lvl>
    <w:lvl w:ilvl="8">
      <w:start w:val="1"/>
      <w:numFmt w:val="decimal"/>
      <w:lvlText w:val="%9."/>
      <w:lvlJc w:val="left"/>
      <w:pPr>
        <w:tabs>
          <w:tab w:val="num" w:pos="5760"/>
        </w:tabs>
        <w:ind w:left="5760" w:hanging="720"/>
      </w:pPr>
      <w:rPr>
        <w:b w:val="0"/>
        <w:i w:val="0"/>
        <w:sz w:val="22"/>
      </w:rPr>
    </w:lvl>
  </w:abstractNum>
  <w:abstractNum w:abstractNumId="41" w15:restartNumberingAfterBreak="0">
    <w:nsid w:val="78C31C79"/>
    <w:multiLevelType w:val="hybridMultilevel"/>
    <w:tmpl w:val="0BBA56BC"/>
    <w:lvl w:ilvl="0" w:tplc="6A141DC2">
      <w:start w:val="1"/>
      <w:numFmt w:val="decimal"/>
      <w:lvlText w:val="%1."/>
      <w:lvlJc w:val="left"/>
      <w:pPr>
        <w:ind w:left="1440" w:hanging="360"/>
      </w:pPr>
      <w:rPr>
        <w:color w:val="000000"/>
      </w:rPr>
    </w:lvl>
    <w:lvl w:ilvl="1" w:tplc="146AA69C" w:tentative="1">
      <w:start w:val="1"/>
      <w:numFmt w:val="lowerLetter"/>
      <w:lvlText w:val="%2."/>
      <w:lvlJc w:val="left"/>
      <w:pPr>
        <w:ind w:left="2160" w:hanging="360"/>
      </w:pPr>
    </w:lvl>
    <w:lvl w:ilvl="2" w:tplc="52B8E092" w:tentative="1">
      <w:start w:val="1"/>
      <w:numFmt w:val="lowerRoman"/>
      <w:lvlText w:val="%3."/>
      <w:lvlJc w:val="right"/>
      <w:pPr>
        <w:ind w:left="2880" w:hanging="180"/>
      </w:pPr>
    </w:lvl>
    <w:lvl w:ilvl="3" w:tplc="C86A3724" w:tentative="1">
      <w:start w:val="1"/>
      <w:numFmt w:val="decimal"/>
      <w:lvlText w:val="%4."/>
      <w:lvlJc w:val="left"/>
      <w:pPr>
        <w:ind w:left="3600" w:hanging="360"/>
      </w:pPr>
    </w:lvl>
    <w:lvl w:ilvl="4" w:tplc="AC9690EC" w:tentative="1">
      <w:start w:val="1"/>
      <w:numFmt w:val="lowerLetter"/>
      <w:lvlText w:val="%5."/>
      <w:lvlJc w:val="left"/>
      <w:pPr>
        <w:ind w:left="4320" w:hanging="360"/>
      </w:pPr>
    </w:lvl>
    <w:lvl w:ilvl="5" w:tplc="233AD440" w:tentative="1">
      <w:start w:val="1"/>
      <w:numFmt w:val="lowerRoman"/>
      <w:lvlText w:val="%6."/>
      <w:lvlJc w:val="right"/>
      <w:pPr>
        <w:ind w:left="5040" w:hanging="180"/>
      </w:pPr>
    </w:lvl>
    <w:lvl w:ilvl="6" w:tplc="218A2B9A" w:tentative="1">
      <w:start w:val="1"/>
      <w:numFmt w:val="decimal"/>
      <w:lvlText w:val="%7."/>
      <w:lvlJc w:val="left"/>
      <w:pPr>
        <w:ind w:left="5760" w:hanging="360"/>
      </w:pPr>
    </w:lvl>
    <w:lvl w:ilvl="7" w:tplc="0B7E30D8" w:tentative="1">
      <w:start w:val="1"/>
      <w:numFmt w:val="lowerLetter"/>
      <w:lvlText w:val="%8."/>
      <w:lvlJc w:val="left"/>
      <w:pPr>
        <w:ind w:left="6480" w:hanging="360"/>
      </w:pPr>
    </w:lvl>
    <w:lvl w:ilvl="8" w:tplc="508A2996" w:tentative="1">
      <w:start w:val="1"/>
      <w:numFmt w:val="lowerRoman"/>
      <w:lvlText w:val="%9."/>
      <w:lvlJc w:val="right"/>
      <w:pPr>
        <w:ind w:left="7200" w:hanging="180"/>
      </w:pPr>
    </w:lvl>
  </w:abstractNum>
  <w:abstractNum w:abstractNumId="42" w15:restartNumberingAfterBreak="0">
    <w:nsid w:val="7DB5644F"/>
    <w:multiLevelType w:val="hybridMultilevel"/>
    <w:tmpl w:val="8BCC9C08"/>
    <w:lvl w:ilvl="0" w:tplc="C2E429D0">
      <w:start w:val="1"/>
      <w:numFmt w:val="bullet"/>
      <w:pStyle w:val="BulletList3"/>
      <w:lvlText w:val=""/>
      <w:lvlJc w:val="left"/>
      <w:pPr>
        <w:tabs>
          <w:tab w:val="num" w:pos="1945"/>
        </w:tabs>
        <w:ind w:left="1945" w:hanging="357"/>
      </w:pPr>
      <w:rPr>
        <w:rFonts w:ascii="Symbol" w:hAnsi="Symbol" w:hint="default"/>
        <w:color w:val="000000"/>
      </w:rPr>
    </w:lvl>
    <w:lvl w:ilvl="1" w:tplc="96888416" w:tentative="1">
      <w:start w:val="1"/>
      <w:numFmt w:val="bullet"/>
      <w:lvlText w:val="o"/>
      <w:lvlJc w:val="left"/>
      <w:pPr>
        <w:tabs>
          <w:tab w:val="num" w:pos="1440"/>
        </w:tabs>
        <w:ind w:left="1440" w:hanging="360"/>
      </w:pPr>
      <w:rPr>
        <w:rFonts w:ascii="Courier New" w:hAnsi="Courier New" w:cs="Courier New" w:hint="default"/>
      </w:rPr>
    </w:lvl>
    <w:lvl w:ilvl="2" w:tplc="BB26291E" w:tentative="1">
      <w:start w:val="1"/>
      <w:numFmt w:val="bullet"/>
      <w:lvlText w:val=""/>
      <w:lvlJc w:val="left"/>
      <w:pPr>
        <w:tabs>
          <w:tab w:val="num" w:pos="2160"/>
        </w:tabs>
        <w:ind w:left="2160" w:hanging="360"/>
      </w:pPr>
      <w:rPr>
        <w:rFonts w:ascii="Wingdings" w:hAnsi="Wingdings" w:hint="default"/>
      </w:rPr>
    </w:lvl>
    <w:lvl w:ilvl="3" w:tplc="EBC2243C" w:tentative="1">
      <w:start w:val="1"/>
      <w:numFmt w:val="bullet"/>
      <w:lvlText w:val=""/>
      <w:lvlJc w:val="left"/>
      <w:pPr>
        <w:tabs>
          <w:tab w:val="num" w:pos="2880"/>
        </w:tabs>
        <w:ind w:left="2880" w:hanging="360"/>
      </w:pPr>
      <w:rPr>
        <w:rFonts w:ascii="Symbol" w:hAnsi="Symbol" w:hint="default"/>
      </w:rPr>
    </w:lvl>
    <w:lvl w:ilvl="4" w:tplc="660439F2" w:tentative="1">
      <w:start w:val="1"/>
      <w:numFmt w:val="bullet"/>
      <w:lvlText w:val="o"/>
      <w:lvlJc w:val="left"/>
      <w:pPr>
        <w:tabs>
          <w:tab w:val="num" w:pos="3600"/>
        </w:tabs>
        <w:ind w:left="3600" w:hanging="360"/>
      </w:pPr>
      <w:rPr>
        <w:rFonts w:ascii="Courier New" w:hAnsi="Courier New" w:cs="Courier New" w:hint="default"/>
      </w:rPr>
    </w:lvl>
    <w:lvl w:ilvl="5" w:tplc="5AF0FC5E" w:tentative="1">
      <w:start w:val="1"/>
      <w:numFmt w:val="bullet"/>
      <w:lvlText w:val=""/>
      <w:lvlJc w:val="left"/>
      <w:pPr>
        <w:tabs>
          <w:tab w:val="num" w:pos="4320"/>
        </w:tabs>
        <w:ind w:left="4320" w:hanging="360"/>
      </w:pPr>
      <w:rPr>
        <w:rFonts w:ascii="Wingdings" w:hAnsi="Wingdings" w:hint="default"/>
      </w:rPr>
    </w:lvl>
    <w:lvl w:ilvl="6" w:tplc="6B007774" w:tentative="1">
      <w:start w:val="1"/>
      <w:numFmt w:val="bullet"/>
      <w:lvlText w:val=""/>
      <w:lvlJc w:val="left"/>
      <w:pPr>
        <w:tabs>
          <w:tab w:val="num" w:pos="5040"/>
        </w:tabs>
        <w:ind w:left="5040" w:hanging="360"/>
      </w:pPr>
      <w:rPr>
        <w:rFonts w:ascii="Symbol" w:hAnsi="Symbol" w:hint="default"/>
      </w:rPr>
    </w:lvl>
    <w:lvl w:ilvl="7" w:tplc="FDC8A5BE" w:tentative="1">
      <w:start w:val="1"/>
      <w:numFmt w:val="bullet"/>
      <w:lvlText w:val="o"/>
      <w:lvlJc w:val="left"/>
      <w:pPr>
        <w:tabs>
          <w:tab w:val="num" w:pos="5760"/>
        </w:tabs>
        <w:ind w:left="5760" w:hanging="360"/>
      </w:pPr>
      <w:rPr>
        <w:rFonts w:ascii="Courier New" w:hAnsi="Courier New" w:cs="Courier New" w:hint="default"/>
      </w:rPr>
    </w:lvl>
    <w:lvl w:ilvl="8" w:tplc="D99A985A" w:tentative="1">
      <w:start w:val="1"/>
      <w:numFmt w:val="bullet"/>
      <w:lvlText w:val=""/>
      <w:lvlJc w:val="left"/>
      <w:pPr>
        <w:tabs>
          <w:tab w:val="num" w:pos="6480"/>
        </w:tabs>
        <w:ind w:left="6480" w:hanging="360"/>
      </w:pPr>
      <w:rPr>
        <w:rFonts w:ascii="Wingdings" w:hAnsi="Wingdings" w:hint="default"/>
      </w:rPr>
    </w:lvl>
  </w:abstractNum>
  <w:num w:numId="1" w16cid:durableId="1773235788">
    <w:abstractNumId w:val="36"/>
  </w:num>
  <w:num w:numId="2" w16cid:durableId="955333079">
    <w:abstractNumId w:val="37"/>
  </w:num>
  <w:num w:numId="3" w16cid:durableId="123354433">
    <w:abstractNumId w:val="22"/>
  </w:num>
  <w:num w:numId="4" w16cid:durableId="1783723989">
    <w:abstractNumId w:val="42"/>
  </w:num>
  <w:num w:numId="5" w16cid:durableId="162742245">
    <w:abstractNumId w:val="39"/>
  </w:num>
  <w:num w:numId="6" w16cid:durableId="780342270">
    <w:abstractNumId w:val="16"/>
  </w:num>
  <w:num w:numId="7" w16cid:durableId="2013993851">
    <w:abstractNumId w:val="24"/>
  </w:num>
  <w:num w:numId="8" w16cid:durableId="1422137534">
    <w:abstractNumId w:val="40"/>
  </w:num>
  <w:num w:numId="9" w16cid:durableId="259261790">
    <w:abstractNumId w:val="23"/>
  </w:num>
  <w:num w:numId="10" w16cid:durableId="1332756631">
    <w:abstractNumId w:val="20"/>
  </w:num>
  <w:num w:numId="11" w16cid:durableId="1936591223">
    <w:abstractNumId w:val="32"/>
  </w:num>
  <w:num w:numId="12" w16cid:durableId="154612008">
    <w:abstractNumId w:val="15"/>
  </w:num>
  <w:num w:numId="13" w16cid:durableId="151065348">
    <w:abstractNumId w:val="19"/>
  </w:num>
  <w:num w:numId="14" w16cid:durableId="513038020">
    <w:abstractNumId w:val="18"/>
  </w:num>
  <w:num w:numId="15" w16cid:durableId="1840151162">
    <w:abstractNumId w:val="31"/>
  </w:num>
  <w:num w:numId="16" w16cid:durableId="2063946376">
    <w:abstractNumId w:val="34"/>
  </w:num>
  <w:num w:numId="17" w16cid:durableId="462115764">
    <w:abstractNumId w:val="25"/>
  </w:num>
  <w:num w:numId="18" w16cid:durableId="1085998354">
    <w:abstractNumId w:val="30"/>
  </w:num>
  <w:num w:numId="19" w16cid:durableId="689187863">
    <w:abstractNumId w:val="28"/>
  </w:num>
  <w:num w:numId="20" w16cid:durableId="1496872386">
    <w:abstractNumId w:val="29"/>
  </w:num>
  <w:num w:numId="21" w16cid:durableId="1210875876">
    <w:abstractNumId w:val="27"/>
  </w:num>
  <w:num w:numId="22" w16cid:durableId="452099008">
    <w:abstractNumId w:val="21"/>
  </w:num>
  <w:num w:numId="23" w16cid:durableId="136460457">
    <w:abstractNumId w:val="35"/>
  </w:num>
  <w:num w:numId="24" w16cid:durableId="2109153417">
    <w:abstractNumId w:val="11"/>
  </w:num>
  <w:num w:numId="25" w16cid:durableId="1554274620">
    <w:abstractNumId w:val="33"/>
  </w:num>
  <w:num w:numId="26" w16cid:durableId="622809298">
    <w:abstractNumId w:val="9"/>
  </w:num>
  <w:num w:numId="27" w16cid:durableId="2100365469">
    <w:abstractNumId w:val="7"/>
  </w:num>
  <w:num w:numId="28" w16cid:durableId="940603026">
    <w:abstractNumId w:val="6"/>
  </w:num>
  <w:num w:numId="29" w16cid:durableId="1959604395">
    <w:abstractNumId w:val="5"/>
  </w:num>
  <w:num w:numId="30" w16cid:durableId="1492021950">
    <w:abstractNumId w:val="4"/>
  </w:num>
  <w:num w:numId="31" w16cid:durableId="1945382833">
    <w:abstractNumId w:val="8"/>
  </w:num>
  <w:num w:numId="32" w16cid:durableId="1473986208">
    <w:abstractNumId w:val="3"/>
  </w:num>
  <w:num w:numId="33" w16cid:durableId="100536528">
    <w:abstractNumId w:val="2"/>
  </w:num>
  <w:num w:numId="34" w16cid:durableId="1495296134">
    <w:abstractNumId w:val="1"/>
  </w:num>
  <w:num w:numId="35" w16cid:durableId="857740543">
    <w:abstractNumId w:val="0"/>
  </w:num>
  <w:num w:numId="36" w16cid:durableId="194715370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42033449">
    <w:abstractNumId w:val="13"/>
  </w:num>
  <w:num w:numId="38" w16cid:durableId="741682316">
    <w:abstractNumId w:val="14"/>
  </w:num>
  <w:num w:numId="39" w16cid:durableId="680283600">
    <w:abstractNumId w:val="10"/>
  </w:num>
  <w:num w:numId="40" w16cid:durableId="2127969371">
    <w:abstractNumId w:val="41"/>
  </w:num>
  <w:num w:numId="41" w16cid:durableId="9266956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772968955">
    <w:abstractNumId w:val="38"/>
  </w:num>
  <w:num w:numId="43" w16cid:durableId="132481498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295022689">
    <w:abstractNumId w:val="12"/>
  </w:num>
  <w:num w:numId="45" w16cid:durableId="592782683">
    <w:abstractNumId w:val="17"/>
  </w:num>
  <w:num w:numId="46" w16cid:durableId="782845423">
    <w:abstractNumId w:val="2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tie Chason">
    <w15:presenceInfo w15:providerId="AD" w15:userId="S::katiechason@williamsco.legal::cb3040b4-d24e-45fc-b032-230b9705929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linkStyl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PartsVariable" w:val="&lt;docParts&gt;_x000d__x000a_  &lt;Precedent&gt;agreement&lt;/Precedent&gt;_x000d__x000a_  &lt;Operative&gt;Clause&lt;/Operative&gt;_x000d__x000a_  &lt;TemplateType&gt;null&lt;/TemplateType&gt;_x000d__x000a_  &lt;SignaturePageBreakType&gt;Yes without message&lt;/SignaturePageBreakType&gt;_x000d__x000a_&lt;/docParts&gt;"/>
    <w:docVar w:name="gentXMLPartID" w:val="{9BA6EC3D-A8F5-4850-A1AD-BC4C798EE570}"/>
  </w:docVars>
  <w:rsids>
    <w:rsidRoot w:val="006658D9"/>
    <w:rsid w:val="00111C66"/>
    <w:rsid w:val="00237AF7"/>
    <w:rsid w:val="00245606"/>
    <w:rsid w:val="0029510C"/>
    <w:rsid w:val="002D2528"/>
    <w:rsid w:val="003348E0"/>
    <w:rsid w:val="003D7D44"/>
    <w:rsid w:val="004D2C0E"/>
    <w:rsid w:val="004F59F9"/>
    <w:rsid w:val="00602A13"/>
    <w:rsid w:val="006658D9"/>
    <w:rsid w:val="00962D3F"/>
    <w:rsid w:val="009D1A35"/>
    <w:rsid w:val="00AF3F52"/>
    <w:rsid w:val="00B406AB"/>
    <w:rsid w:val="00B7785B"/>
    <w:rsid w:val="00C437BC"/>
    <w:rsid w:val="00CD08BB"/>
    <w:rsid w:val="00D93085"/>
    <w:rsid w:val="00EC1EC1"/>
    <w:rsid w:val="00F00B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139D5"/>
  <w15:docId w15:val="{64E0465D-4852-4029-A77F-B7873DF13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2D3F"/>
    <w:pPr>
      <w:spacing w:after="160" w:line="278" w:lineRule="auto"/>
    </w:pPr>
    <w:rPr>
      <w:rFonts w:eastAsiaTheme="minorHAnsi"/>
      <w:kern w:val="2"/>
      <w:sz w:val="24"/>
      <w:szCs w:val="24"/>
      <w:lang w:eastAsia="en-US"/>
      <w14:ligatures w14:val="standardContextual"/>
    </w:rPr>
  </w:style>
  <w:style w:type="paragraph" w:styleId="Heading1">
    <w:name w:val="heading 1"/>
    <w:basedOn w:val="Normal"/>
    <w:next w:val="Normal"/>
    <w:link w:val="Heading1Char"/>
    <w:uiPriority w:val="9"/>
    <w:qFormat/>
    <w:rsid w:val="00686E79"/>
    <w:pPr>
      <w:keepNext/>
      <w:keepLines/>
      <w:numPr>
        <w:numId w:val="11"/>
      </w:numPr>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semiHidden/>
    <w:unhideWhenUsed/>
    <w:qFormat/>
    <w:rsid w:val="00686E79"/>
    <w:pPr>
      <w:keepNext/>
      <w:keepLines/>
      <w:numPr>
        <w:ilvl w:val="1"/>
        <w:numId w:val="11"/>
      </w:numPr>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semiHidden/>
    <w:unhideWhenUsed/>
    <w:qFormat/>
    <w:rsid w:val="00686E79"/>
    <w:pPr>
      <w:keepNext/>
      <w:keepLines/>
      <w:numPr>
        <w:ilvl w:val="2"/>
        <w:numId w:val="11"/>
      </w:numPr>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686E79"/>
    <w:pPr>
      <w:keepNext/>
      <w:keepLines/>
      <w:numPr>
        <w:ilvl w:val="3"/>
        <w:numId w:val="11"/>
      </w:numPr>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686E79"/>
    <w:pPr>
      <w:keepNext/>
      <w:keepLines/>
      <w:numPr>
        <w:ilvl w:val="4"/>
        <w:numId w:val="11"/>
      </w:numPr>
      <w:spacing w:before="200" w:after="0"/>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semiHidden/>
    <w:unhideWhenUsed/>
    <w:qFormat/>
    <w:rsid w:val="00686E79"/>
    <w:pPr>
      <w:keepNext/>
      <w:keepLines/>
      <w:numPr>
        <w:ilvl w:val="5"/>
        <w:numId w:val="11"/>
      </w:numPr>
      <w:spacing w:before="200" w:after="0"/>
      <w:outlineLvl w:val="5"/>
    </w:pPr>
    <w:rPr>
      <w:rFonts w:asciiTheme="majorHAnsi" w:eastAsiaTheme="majorEastAsia" w:hAnsiTheme="majorHAnsi" w:cstheme="majorBidi"/>
      <w:i/>
      <w:iCs/>
      <w:color w:val="000000"/>
    </w:rPr>
  </w:style>
  <w:style w:type="paragraph" w:styleId="Heading7">
    <w:name w:val="heading 7"/>
    <w:basedOn w:val="Normal"/>
    <w:next w:val="Normal"/>
    <w:link w:val="Heading7Char"/>
    <w:uiPriority w:val="9"/>
    <w:semiHidden/>
    <w:unhideWhenUsed/>
    <w:qFormat/>
    <w:rsid w:val="00686E79"/>
    <w:pPr>
      <w:keepNext/>
      <w:keepLines/>
      <w:numPr>
        <w:ilvl w:val="6"/>
        <w:numId w:val="11"/>
      </w:numPr>
      <w:spacing w:before="200" w:after="0"/>
      <w:outlineLvl w:val="6"/>
    </w:pPr>
    <w:rPr>
      <w:rFonts w:asciiTheme="majorHAnsi" w:eastAsiaTheme="majorEastAsia" w:hAnsiTheme="majorHAnsi" w:cstheme="majorBidi"/>
      <w:i/>
      <w:iCs/>
      <w:color w:val="000000"/>
    </w:rPr>
  </w:style>
  <w:style w:type="paragraph" w:styleId="Heading8">
    <w:name w:val="heading 8"/>
    <w:basedOn w:val="Normal"/>
    <w:next w:val="Normal"/>
    <w:link w:val="Heading8Char"/>
    <w:uiPriority w:val="9"/>
    <w:semiHidden/>
    <w:unhideWhenUsed/>
    <w:qFormat/>
    <w:rsid w:val="00686E79"/>
    <w:pPr>
      <w:keepNext/>
      <w:keepLines/>
      <w:numPr>
        <w:ilvl w:val="7"/>
        <w:numId w:val="11"/>
      </w:numPr>
      <w:spacing w:before="200" w:after="0"/>
      <w:outlineLvl w:val="7"/>
    </w:pPr>
    <w:rPr>
      <w:rFonts w:asciiTheme="majorHAnsi" w:eastAsiaTheme="majorEastAsia" w:hAnsiTheme="majorHAnsi" w:cstheme="majorBidi"/>
      <w:color w:val="000000"/>
      <w:sz w:val="20"/>
      <w:szCs w:val="20"/>
    </w:rPr>
  </w:style>
  <w:style w:type="paragraph" w:styleId="Heading9">
    <w:name w:val="heading 9"/>
    <w:basedOn w:val="Normal"/>
    <w:next w:val="Normal"/>
    <w:link w:val="Heading9Char"/>
    <w:uiPriority w:val="9"/>
    <w:semiHidden/>
    <w:unhideWhenUsed/>
    <w:qFormat/>
    <w:rsid w:val="00686E79"/>
    <w:pPr>
      <w:keepNext/>
      <w:keepLines/>
      <w:numPr>
        <w:ilvl w:val="8"/>
        <w:numId w:val="11"/>
      </w:numPr>
      <w:spacing w:before="200" w:after="0"/>
      <w:outlineLvl w:val="8"/>
    </w:pPr>
    <w:rPr>
      <w:rFonts w:asciiTheme="majorHAnsi" w:eastAsiaTheme="majorEastAsia" w:hAnsiTheme="majorHAnsi" w:cstheme="majorBidi"/>
      <w:i/>
      <w:iCs/>
      <w:color w:val="000000"/>
      <w:sz w:val="20"/>
      <w:szCs w:val="20"/>
    </w:rPr>
  </w:style>
  <w:style w:type="character" w:default="1" w:styleId="DefaultParagraphFont">
    <w:name w:val="Default Paragraph Font"/>
    <w:uiPriority w:val="1"/>
    <w:semiHidden/>
    <w:unhideWhenUsed/>
    <w:rsid w:val="00962D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2D3F"/>
  </w:style>
  <w:style w:type="paragraph" w:customStyle="1" w:styleId="Abstract">
    <w:name w:val="Abstract"/>
    <w:link w:val="AbstractChar"/>
    <w:rsid w:val="00686E79"/>
    <w:pPr>
      <w:spacing w:after="120" w:line="240" w:lineRule="auto"/>
    </w:pPr>
    <w:rPr>
      <w:rFonts w:ascii="Arial" w:eastAsia="Arial Unicode MS" w:hAnsi="Arial" w:cs="Arial"/>
      <w:color w:val="000000"/>
      <w:sz w:val="24"/>
      <w:szCs w:val="24"/>
      <w:lang w:val="en-US" w:eastAsia="en-US"/>
    </w:rPr>
  </w:style>
  <w:style w:type="character" w:customStyle="1" w:styleId="AbstractChar">
    <w:name w:val="Abstract Char"/>
    <w:link w:val="Abstract"/>
    <w:rsid w:val="00686E79"/>
    <w:rPr>
      <w:rFonts w:ascii="Arial" w:eastAsia="Arial Unicode MS" w:hAnsi="Arial" w:cs="Arial"/>
      <w:color w:val="000000"/>
      <w:sz w:val="24"/>
      <w:szCs w:val="24"/>
      <w:lang w:val="en-US" w:eastAsia="en-US"/>
    </w:rPr>
  </w:style>
  <w:style w:type="paragraph" w:customStyle="1" w:styleId="Annex">
    <w:name w:val="Annex"/>
    <w:basedOn w:val="Paragraph"/>
    <w:next w:val="Paragraph"/>
    <w:qFormat/>
    <w:rsid w:val="00686E79"/>
    <w:pPr>
      <w:numPr>
        <w:numId w:val="13"/>
      </w:numPr>
      <w:spacing w:before="240" w:after="240"/>
      <w:ind w:left="0" w:firstLine="0"/>
    </w:pPr>
    <w:rPr>
      <w:b/>
    </w:rPr>
  </w:style>
  <w:style w:type="paragraph" w:customStyle="1" w:styleId="AuthoringGroup">
    <w:name w:val="Authoring Group"/>
    <w:link w:val="AuthoringGroupChar"/>
    <w:rsid w:val="00686E79"/>
    <w:pPr>
      <w:spacing w:after="120" w:line="240" w:lineRule="auto"/>
    </w:pPr>
    <w:rPr>
      <w:rFonts w:ascii="Arial" w:eastAsia="Arial Unicode MS" w:hAnsi="Arial" w:cs="Arial"/>
      <w:color w:val="000000"/>
      <w:sz w:val="24"/>
      <w:lang w:val="en-US" w:eastAsia="en-US"/>
    </w:rPr>
  </w:style>
  <w:style w:type="character" w:customStyle="1" w:styleId="AuthoringGroupChar">
    <w:name w:val="Authoring Group Char"/>
    <w:link w:val="AuthoringGroup"/>
    <w:rsid w:val="00686E79"/>
    <w:rPr>
      <w:rFonts w:ascii="Arial" w:eastAsia="Arial Unicode MS" w:hAnsi="Arial" w:cs="Arial"/>
      <w:color w:val="000000"/>
      <w:sz w:val="24"/>
      <w:lang w:val="en-US" w:eastAsia="en-US"/>
    </w:rPr>
  </w:style>
  <w:style w:type="paragraph" w:customStyle="1" w:styleId="Background">
    <w:name w:val="Background"/>
    <w:aliases w:val="(A) Background"/>
    <w:basedOn w:val="Normal"/>
    <w:rsid w:val="00686E79"/>
    <w:pPr>
      <w:numPr>
        <w:numId w:val="1"/>
      </w:numPr>
      <w:spacing w:before="120" w:after="120" w:line="300" w:lineRule="atLeast"/>
      <w:jc w:val="both"/>
    </w:pPr>
    <w:rPr>
      <w:rFonts w:ascii="Arial" w:eastAsia="Arial Unicode MS" w:hAnsi="Arial" w:cs="Arial"/>
      <w:color w:val="000000"/>
      <w:szCs w:val="20"/>
    </w:rPr>
  </w:style>
  <w:style w:type="paragraph" w:customStyle="1" w:styleId="BulletList1">
    <w:name w:val="Bullet List 1"/>
    <w:aliases w:val="Bullet1"/>
    <w:basedOn w:val="Normal"/>
    <w:rsid w:val="00686E79"/>
    <w:pPr>
      <w:numPr>
        <w:numId w:val="2"/>
      </w:numPr>
      <w:spacing w:after="240" w:line="300" w:lineRule="atLeast"/>
      <w:jc w:val="both"/>
    </w:pPr>
    <w:rPr>
      <w:rFonts w:ascii="Arial" w:eastAsia="Arial Unicode MS" w:hAnsi="Arial" w:cs="Arial"/>
      <w:color w:val="000000"/>
      <w:szCs w:val="20"/>
    </w:rPr>
  </w:style>
  <w:style w:type="paragraph" w:customStyle="1" w:styleId="BulletList2">
    <w:name w:val="Bullet List 2"/>
    <w:aliases w:val="Bullet2"/>
    <w:basedOn w:val="Normal"/>
    <w:rsid w:val="00686E79"/>
    <w:pPr>
      <w:numPr>
        <w:numId w:val="3"/>
      </w:numPr>
      <w:spacing w:after="120" w:line="240" w:lineRule="auto"/>
      <w:ind w:left="1080" w:hanging="720"/>
      <w:jc w:val="both"/>
    </w:pPr>
    <w:rPr>
      <w:rFonts w:ascii="Arial" w:eastAsia="Arial Unicode MS" w:hAnsi="Arial" w:cs="Arial"/>
      <w:color w:val="000000"/>
      <w:szCs w:val="20"/>
    </w:rPr>
  </w:style>
  <w:style w:type="paragraph" w:customStyle="1" w:styleId="BulletList3">
    <w:name w:val="Bullet List 3"/>
    <w:aliases w:val="Bullet3"/>
    <w:basedOn w:val="Normal"/>
    <w:rsid w:val="00686E79"/>
    <w:pPr>
      <w:numPr>
        <w:numId w:val="4"/>
      </w:numPr>
      <w:spacing w:after="240" w:line="240" w:lineRule="auto"/>
      <w:jc w:val="both"/>
    </w:pPr>
    <w:rPr>
      <w:rFonts w:ascii="Arial" w:eastAsia="Arial Unicode MS" w:hAnsi="Arial" w:cs="Arial"/>
      <w:color w:val="000000"/>
      <w:szCs w:val="20"/>
    </w:rPr>
  </w:style>
  <w:style w:type="paragraph" w:customStyle="1" w:styleId="TitleClause">
    <w:name w:val="Title Clause"/>
    <w:basedOn w:val="Normal"/>
    <w:rsid w:val="00686E79"/>
    <w:pPr>
      <w:keepNext/>
      <w:numPr>
        <w:numId w:val="41"/>
      </w:numPr>
      <w:spacing w:before="240" w:after="240" w:line="300" w:lineRule="atLeast"/>
      <w:jc w:val="both"/>
      <w:outlineLvl w:val="0"/>
    </w:pPr>
    <w:rPr>
      <w:rFonts w:ascii="Arial" w:eastAsia="Arial Unicode MS" w:hAnsi="Arial" w:cs="Arial"/>
      <w:b/>
      <w:color w:val="000000"/>
      <w:kern w:val="28"/>
      <w:szCs w:val="20"/>
    </w:rPr>
  </w:style>
  <w:style w:type="paragraph" w:customStyle="1" w:styleId="ClauseNoTitle">
    <w:name w:val="Clause No Title"/>
    <w:basedOn w:val="TitleClause"/>
    <w:rsid w:val="00686E79"/>
    <w:rPr>
      <w:b w:val="0"/>
      <w:smallCaps/>
    </w:rPr>
  </w:style>
  <w:style w:type="paragraph" w:customStyle="1" w:styleId="ClosingPara">
    <w:name w:val="Closing Para"/>
    <w:basedOn w:val="Normal"/>
    <w:rsid w:val="00686E79"/>
    <w:pPr>
      <w:spacing w:before="120" w:after="240" w:line="300" w:lineRule="atLeast"/>
      <w:jc w:val="both"/>
    </w:pPr>
    <w:rPr>
      <w:rFonts w:ascii="Arial" w:eastAsia="Arial Unicode MS" w:hAnsi="Arial" w:cs="Arial"/>
      <w:color w:val="000000"/>
      <w:szCs w:val="20"/>
    </w:rPr>
  </w:style>
  <w:style w:type="paragraph" w:customStyle="1" w:styleId="ClosingSignOff">
    <w:name w:val="Closing SignOff"/>
    <w:basedOn w:val="Normal"/>
    <w:rsid w:val="00686E79"/>
    <w:pPr>
      <w:spacing w:after="120" w:line="300" w:lineRule="atLeast"/>
      <w:jc w:val="both"/>
    </w:pPr>
    <w:rPr>
      <w:rFonts w:ascii="Arial" w:eastAsia="Arial Unicode MS" w:hAnsi="Arial" w:cs="Arial"/>
      <w:color w:val="000000"/>
      <w:szCs w:val="20"/>
    </w:rPr>
  </w:style>
  <w:style w:type="paragraph" w:customStyle="1" w:styleId="CoversheetTitle">
    <w:name w:val="Coversheet Title"/>
    <w:basedOn w:val="Normal"/>
    <w:autoRedefine/>
    <w:rsid w:val="00686E79"/>
    <w:pPr>
      <w:spacing w:before="480" w:after="480" w:line="300" w:lineRule="atLeast"/>
      <w:jc w:val="center"/>
    </w:pPr>
    <w:rPr>
      <w:rFonts w:ascii="Arial" w:eastAsia="Arial Unicode MS" w:hAnsi="Arial" w:cs="Arial"/>
      <w:b/>
      <w:smallCaps/>
      <w:color w:val="000000"/>
      <w:sz w:val="28"/>
      <w:szCs w:val="20"/>
    </w:rPr>
  </w:style>
  <w:style w:type="paragraph" w:customStyle="1" w:styleId="CoverSheetHeading">
    <w:name w:val="Cover Sheet Heading"/>
    <w:aliases w:val="Coversheet Title2"/>
    <w:basedOn w:val="CoversheetTitle"/>
    <w:rsid w:val="00686E79"/>
  </w:style>
  <w:style w:type="paragraph" w:customStyle="1" w:styleId="CoverSheetSubjectText">
    <w:name w:val="Cover Sheet Subject Text"/>
    <w:basedOn w:val="Normal"/>
    <w:rsid w:val="00686E79"/>
    <w:pPr>
      <w:spacing w:after="0" w:line="300" w:lineRule="atLeast"/>
      <w:jc w:val="center"/>
    </w:pPr>
    <w:rPr>
      <w:rFonts w:ascii="Arial" w:eastAsia="Arial Unicode MS" w:hAnsi="Arial" w:cs="Arial"/>
      <w:color w:val="000000"/>
      <w:szCs w:val="20"/>
    </w:rPr>
  </w:style>
  <w:style w:type="paragraph" w:customStyle="1" w:styleId="CoverSheetSubjectTitle">
    <w:name w:val="Cover Sheet Subject Title"/>
    <w:basedOn w:val="Normal"/>
    <w:rsid w:val="00686E79"/>
    <w:pPr>
      <w:spacing w:after="0" w:line="300" w:lineRule="atLeast"/>
      <w:jc w:val="center"/>
    </w:pPr>
    <w:rPr>
      <w:rFonts w:ascii="Arial" w:eastAsia="Arial Unicode MS" w:hAnsi="Arial" w:cs="Arial"/>
      <w:color w:val="000000"/>
      <w:szCs w:val="20"/>
    </w:rPr>
  </w:style>
  <w:style w:type="paragraph" w:customStyle="1" w:styleId="DefinedTermPara">
    <w:name w:val="Defined Term Para"/>
    <w:basedOn w:val="Paragraph"/>
    <w:qFormat/>
    <w:rsid w:val="00686E79"/>
    <w:pPr>
      <w:numPr>
        <w:numId w:val="42"/>
      </w:numPr>
    </w:pPr>
  </w:style>
  <w:style w:type="paragraph" w:customStyle="1" w:styleId="DescriptiveHeading">
    <w:name w:val="DescriptiveHeading"/>
    <w:next w:val="Paragraph"/>
    <w:link w:val="DescriptiveHeadingChar"/>
    <w:rsid w:val="00686E79"/>
    <w:pPr>
      <w:spacing w:before="360" w:after="360" w:line="240" w:lineRule="auto"/>
      <w:outlineLvl w:val="0"/>
    </w:pPr>
    <w:rPr>
      <w:rFonts w:ascii="Arial" w:eastAsia="Arial Unicode MS" w:hAnsi="Arial" w:cs="Arial"/>
      <w:b/>
      <w:color w:val="000000"/>
      <w:lang w:val="en-US" w:eastAsia="en-US"/>
    </w:rPr>
  </w:style>
  <w:style w:type="character" w:customStyle="1" w:styleId="DescriptiveHeadingChar">
    <w:name w:val="DescriptiveHeading Char"/>
    <w:link w:val="DescriptiveHeading"/>
    <w:rsid w:val="00686E79"/>
    <w:rPr>
      <w:rFonts w:ascii="Arial" w:eastAsia="Arial Unicode MS" w:hAnsi="Arial" w:cs="Arial"/>
      <w:b/>
      <w:color w:val="000000"/>
      <w:lang w:val="en-US" w:eastAsia="en-US"/>
    </w:rPr>
  </w:style>
  <w:style w:type="paragraph" w:customStyle="1" w:styleId="DraftingnoteSection1Para">
    <w:name w:val="Draftingnote Section1 Para"/>
    <w:basedOn w:val="Normal"/>
    <w:rsid w:val="00686E79"/>
    <w:pPr>
      <w:spacing w:after="120" w:line="300" w:lineRule="atLeast"/>
      <w:jc w:val="both"/>
    </w:pPr>
    <w:rPr>
      <w:rFonts w:ascii="Arial" w:eastAsia="Arial Unicode MS" w:hAnsi="Arial" w:cs="Arial"/>
      <w:color w:val="000000"/>
      <w:szCs w:val="20"/>
    </w:rPr>
  </w:style>
  <w:style w:type="paragraph" w:customStyle="1" w:styleId="DraftingnoteSection1Title">
    <w:name w:val="Draftingnote Section1 Title"/>
    <w:basedOn w:val="Normal"/>
    <w:rsid w:val="00686E79"/>
    <w:pPr>
      <w:spacing w:after="120" w:line="300" w:lineRule="atLeast"/>
      <w:jc w:val="both"/>
    </w:pPr>
    <w:rPr>
      <w:rFonts w:ascii="Arial" w:eastAsia="Arial Unicode MS" w:hAnsi="Arial" w:cs="Arial"/>
      <w:b/>
      <w:color w:val="000000"/>
      <w:sz w:val="36"/>
      <w:szCs w:val="20"/>
    </w:rPr>
  </w:style>
  <w:style w:type="paragraph" w:customStyle="1" w:styleId="DraftingnoteSection2Para">
    <w:name w:val="Draftingnote Section2 Para"/>
    <w:basedOn w:val="Normal"/>
    <w:rsid w:val="00686E79"/>
    <w:pPr>
      <w:spacing w:after="120" w:line="300" w:lineRule="atLeast"/>
      <w:jc w:val="both"/>
    </w:pPr>
    <w:rPr>
      <w:rFonts w:ascii="Arial" w:eastAsia="Arial Unicode MS" w:hAnsi="Arial" w:cs="Arial"/>
      <w:color w:val="000000"/>
      <w:szCs w:val="20"/>
    </w:rPr>
  </w:style>
  <w:style w:type="paragraph" w:customStyle="1" w:styleId="DraftingnoteSection2Title">
    <w:name w:val="Draftingnote Section2 Title"/>
    <w:basedOn w:val="Normal"/>
    <w:rsid w:val="00686E79"/>
    <w:pPr>
      <w:spacing w:after="120" w:line="300" w:lineRule="atLeast"/>
      <w:jc w:val="both"/>
    </w:pPr>
    <w:rPr>
      <w:rFonts w:ascii="Arial" w:eastAsia="Arial Unicode MS" w:hAnsi="Arial" w:cs="Arial"/>
      <w:b/>
      <w:color w:val="000000"/>
      <w:sz w:val="28"/>
      <w:szCs w:val="20"/>
    </w:rPr>
  </w:style>
  <w:style w:type="paragraph" w:customStyle="1" w:styleId="DraftingnoteSection3Para">
    <w:name w:val="Draftingnote Section3 Para"/>
    <w:basedOn w:val="Normal"/>
    <w:rsid w:val="00686E79"/>
    <w:pPr>
      <w:spacing w:after="120" w:line="300" w:lineRule="atLeast"/>
      <w:jc w:val="both"/>
    </w:pPr>
    <w:rPr>
      <w:rFonts w:ascii="Arial" w:eastAsia="Arial Unicode MS" w:hAnsi="Arial" w:cs="Arial"/>
      <w:color w:val="000000"/>
      <w:szCs w:val="20"/>
    </w:rPr>
  </w:style>
  <w:style w:type="paragraph" w:customStyle="1" w:styleId="DraftingnoteSection3Title">
    <w:name w:val="Draftingnote Section3 Title"/>
    <w:basedOn w:val="Normal"/>
    <w:rsid w:val="00686E79"/>
    <w:pPr>
      <w:spacing w:after="120" w:line="300" w:lineRule="atLeast"/>
      <w:jc w:val="both"/>
    </w:pPr>
    <w:rPr>
      <w:rFonts w:ascii="Arial" w:eastAsia="Arial Unicode MS" w:hAnsi="Arial" w:cs="Arial"/>
      <w:b/>
      <w:i/>
      <w:color w:val="000000"/>
      <w:sz w:val="28"/>
      <w:szCs w:val="20"/>
    </w:rPr>
  </w:style>
  <w:style w:type="paragraph" w:customStyle="1" w:styleId="DraftingnoteSection4Para">
    <w:name w:val="Draftingnote Section4 Para"/>
    <w:basedOn w:val="Normal"/>
    <w:rsid w:val="00686E79"/>
    <w:pPr>
      <w:spacing w:after="120" w:line="300" w:lineRule="atLeast"/>
      <w:jc w:val="both"/>
    </w:pPr>
    <w:rPr>
      <w:rFonts w:ascii="Arial" w:eastAsia="Arial Unicode MS" w:hAnsi="Arial" w:cs="Arial"/>
      <w:color w:val="000000"/>
      <w:szCs w:val="20"/>
    </w:rPr>
  </w:style>
  <w:style w:type="paragraph" w:customStyle="1" w:styleId="DraftingnoteSection4Title">
    <w:name w:val="Draftingnote Section4 Title"/>
    <w:basedOn w:val="Normal"/>
    <w:rsid w:val="00686E79"/>
    <w:pPr>
      <w:spacing w:after="120" w:line="300" w:lineRule="atLeast"/>
      <w:jc w:val="both"/>
    </w:pPr>
    <w:rPr>
      <w:rFonts w:ascii="Arial" w:eastAsia="Arial Unicode MS" w:hAnsi="Arial" w:cs="Arial"/>
      <w:b/>
      <w:i/>
      <w:color w:val="000000"/>
      <w:sz w:val="28"/>
      <w:szCs w:val="20"/>
    </w:rPr>
  </w:style>
  <w:style w:type="paragraph" w:customStyle="1" w:styleId="DraftingnoteTitle">
    <w:name w:val="Draftingnote Title"/>
    <w:basedOn w:val="Normal"/>
    <w:rsid w:val="00686E79"/>
    <w:pPr>
      <w:spacing w:after="120" w:line="300" w:lineRule="atLeast"/>
      <w:jc w:val="both"/>
    </w:pPr>
    <w:rPr>
      <w:rFonts w:ascii="Arial" w:eastAsia="Arial Unicode MS" w:hAnsi="Arial" w:cs="Arial"/>
      <w:b/>
      <w:color w:val="000000"/>
      <w:sz w:val="28"/>
      <w:szCs w:val="20"/>
    </w:rPr>
  </w:style>
  <w:style w:type="paragraph" w:customStyle="1" w:styleId="FulltextBridgehead">
    <w:name w:val="Fulltext Bridgehead"/>
    <w:basedOn w:val="Normal"/>
    <w:rsid w:val="00686E79"/>
    <w:pPr>
      <w:spacing w:after="120" w:line="300" w:lineRule="atLeast"/>
      <w:jc w:val="both"/>
    </w:pPr>
    <w:rPr>
      <w:rFonts w:ascii="Arial" w:eastAsia="Arial Unicode MS" w:hAnsi="Arial" w:cs="Arial"/>
      <w:b/>
      <w:color w:val="000000"/>
      <w:sz w:val="48"/>
      <w:szCs w:val="20"/>
    </w:rPr>
  </w:style>
  <w:style w:type="paragraph" w:customStyle="1" w:styleId="FulltextSection1Para">
    <w:name w:val="Fulltext Section1 Para"/>
    <w:basedOn w:val="Normal"/>
    <w:rsid w:val="00686E79"/>
    <w:pPr>
      <w:spacing w:after="120" w:line="300" w:lineRule="atLeast"/>
      <w:jc w:val="both"/>
    </w:pPr>
    <w:rPr>
      <w:rFonts w:ascii="Arial" w:eastAsia="Arial Unicode MS" w:hAnsi="Arial" w:cs="Arial"/>
      <w:color w:val="000000"/>
      <w:szCs w:val="20"/>
    </w:rPr>
  </w:style>
  <w:style w:type="paragraph" w:customStyle="1" w:styleId="FulltextSection1Title">
    <w:name w:val="Fulltext Section1 Title"/>
    <w:basedOn w:val="Normal"/>
    <w:rsid w:val="00686E79"/>
    <w:pPr>
      <w:spacing w:after="120" w:line="300" w:lineRule="atLeast"/>
      <w:jc w:val="both"/>
    </w:pPr>
    <w:rPr>
      <w:rFonts w:ascii="Arial" w:eastAsia="Arial Unicode MS" w:hAnsi="Arial" w:cs="Arial"/>
      <w:b/>
      <w:color w:val="000000"/>
      <w:sz w:val="36"/>
      <w:szCs w:val="20"/>
    </w:rPr>
  </w:style>
  <w:style w:type="paragraph" w:customStyle="1" w:styleId="FulltextSection2Para">
    <w:name w:val="Fulltext Section2 Para"/>
    <w:basedOn w:val="Normal"/>
    <w:rsid w:val="00686E79"/>
    <w:pPr>
      <w:spacing w:after="120" w:line="300" w:lineRule="atLeast"/>
      <w:jc w:val="both"/>
    </w:pPr>
    <w:rPr>
      <w:rFonts w:ascii="Arial" w:eastAsia="Arial Unicode MS" w:hAnsi="Arial" w:cs="Arial"/>
      <w:color w:val="000000"/>
      <w:szCs w:val="20"/>
    </w:rPr>
  </w:style>
  <w:style w:type="paragraph" w:customStyle="1" w:styleId="FulltextSection2Title">
    <w:name w:val="Fulltext Section2 Title"/>
    <w:basedOn w:val="Normal"/>
    <w:rsid w:val="00686E79"/>
    <w:pPr>
      <w:spacing w:after="120" w:line="300" w:lineRule="atLeast"/>
      <w:jc w:val="both"/>
    </w:pPr>
    <w:rPr>
      <w:rFonts w:ascii="Arial" w:eastAsia="Arial Unicode MS" w:hAnsi="Arial" w:cs="Arial"/>
      <w:b/>
      <w:color w:val="000000"/>
      <w:sz w:val="28"/>
      <w:szCs w:val="20"/>
    </w:rPr>
  </w:style>
  <w:style w:type="paragraph" w:customStyle="1" w:styleId="FulltextSection3Para">
    <w:name w:val="Fulltext Section3 Para"/>
    <w:basedOn w:val="Normal"/>
    <w:rsid w:val="00686E79"/>
    <w:pPr>
      <w:spacing w:after="120" w:line="300" w:lineRule="atLeast"/>
      <w:jc w:val="both"/>
    </w:pPr>
    <w:rPr>
      <w:rFonts w:ascii="Arial" w:eastAsia="Arial Unicode MS" w:hAnsi="Arial" w:cs="Arial"/>
      <w:color w:val="000000"/>
      <w:szCs w:val="20"/>
    </w:rPr>
  </w:style>
  <w:style w:type="paragraph" w:customStyle="1" w:styleId="FulltextSection3Title">
    <w:name w:val="Fulltext Section3 Title"/>
    <w:basedOn w:val="Normal"/>
    <w:rsid w:val="00686E79"/>
    <w:pPr>
      <w:spacing w:after="120" w:line="300" w:lineRule="atLeast"/>
      <w:jc w:val="both"/>
    </w:pPr>
    <w:rPr>
      <w:rFonts w:ascii="Arial" w:eastAsia="Arial Unicode MS" w:hAnsi="Arial" w:cs="Arial"/>
      <w:b/>
      <w:i/>
      <w:color w:val="000000"/>
      <w:sz w:val="28"/>
      <w:szCs w:val="20"/>
    </w:rPr>
  </w:style>
  <w:style w:type="paragraph" w:customStyle="1" w:styleId="FulltextSection4Para">
    <w:name w:val="Fulltext Section4 Para"/>
    <w:basedOn w:val="Normal"/>
    <w:rsid w:val="00686E79"/>
    <w:pPr>
      <w:spacing w:after="120" w:line="300" w:lineRule="atLeast"/>
      <w:jc w:val="both"/>
    </w:pPr>
    <w:rPr>
      <w:rFonts w:ascii="Arial" w:eastAsia="Arial Unicode MS" w:hAnsi="Arial" w:cs="Arial"/>
      <w:color w:val="000000"/>
      <w:szCs w:val="20"/>
    </w:rPr>
  </w:style>
  <w:style w:type="paragraph" w:customStyle="1" w:styleId="FulltextSection4Title">
    <w:name w:val="Fulltext Section4 Title"/>
    <w:basedOn w:val="Normal"/>
    <w:rsid w:val="00686E79"/>
    <w:pPr>
      <w:spacing w:after="120" w:line="300" w:lineRule="atLeast"/>
      <w:jc w:val="both"/>
    </w:pPr>
    <w:rPr>
      <w:rFonts w:ascii="Arial" w:eastAsia="Arial Unicode MS" w:hAnsi="Arial" w:cs="Arial"/>
      <w:b/>
      <w:i/>
      <w:color w:val="000000"/>
      <w:sz w:val="28"/>
      <w:szCs w:val="20"/>
    </w:rPr>
  </w:style>
  <w:style w:type="paragraph" w:customStyle="1" w:styleId="GlossItemGlossdefPara">
    <w:name w:val="GlossItem Glossdef Para"/>
    <w:basedOn w:val="Normal"/>
    <w:rsid w:val="00686E79"/>
    <w:pPr>
      <w:spacing w:after="120" w:line="300" w:lineRule="atLeast"/>
      <w:jc w:val="both"/>
    </w:pPr>
    <w:rPr>
      <w:rFonts w:ascii="Arial" w:eastAsia="Arial Unicode MS" w:hAnsi="Arial" w:cs="Arial"/>
      <w:color w:val="000000"/>
      <w:szCs w:val="20"/>
    </w:rPr>
  </w:style>
  <w:style w:type="paragraph" w:customStyle="1" w:styleId="GlossItemGlossterm">
    <w:name w:val="GlossItem Glossterm"/>
    <w:basedOn w:val="Normal"/>
    <w:rsid w:val="00686E79"/>
    <w:pPr>
      <w:spacing w:after="120" w:line="300" w:lineRule="atLeast"/>
      <w:jc w:val="both"/>
    </w:pPr>
    <w:rPr>
      <w:rFonts w:ascii="Arial" w:eastAsia="Arial Unicode MS" w:hAnsi="Arial" w:cs="Arial"/>
      <w:b/>
      <w:color w:val="000000"/>
      <w:sz w:val="48"/>
      <w:szCs w:val="20"/>
    </w:rPr>
  </w:style>
  <w:style w:type="paragraph" w:customStyle="1" w:styleId="HeadingAddressLine">
    <w:name w:val="Heading Address Line"/>
    <w:basedOn w:val="Normal"/>
    <w:rsid w:val="00686E79"/>
    <w:pPr>
      <w:spacing w:after="120" w:line="300" w:lineRule="atLeast"/>
      <w:jc w:val="both"/>
    </w:pPr>
    <w:rPr>
      <w:rFonts w:ascii="Arial" w:eastAsia="Arial Unicode MS" w:hAnsi="Arial" w:cs="Arial"/>
      <w:color w:val="000000"/>
      <w:szCs w:val="20"/>
    </w:rPr>
  </w:style>
  <w:style w:type="paragraph" w:customStyle="1" w:styleId="HeadingDate">
    <w:name w:val="Heading Date"/>
    <w:basedOn w:val="Normal"/>
    <w:rsid w:val="00686E79"/>
    <w:pPr>
      <w:spacing w:after="120" w:line="300" w:lineRule="atLeast"/>
      <w:jc w:val="both"/>
    </w:pPr>
    <w:rPr>
      <w:rFonts w:ascii="Arial" w:eastAsia="Arial Unicode MS" w:hAnsi="Arial" w:cs="Arial"/>
      <w:color w:val="000000"/>
      <w:szCs w:val="20"/>
    </w:rPr>
  </w:style>
  <w:style w:type="paragraph" w:customStyle="1" w:styleId="HeadingLetterheadBasedOnAttribute">
    <w:name w:val="Heading Letterhead Based On Attribute"/>
    <w:basedOn w:val="Normal"/>
    <w:rsid w:val="00686E79"/>
    <w:pPr>
      <w:spacing w:after="120" w:line="300" w:lineRule="atLeast"/>
      <w:jc w:val="both"/>
    </w:pPr>
    <w:rPr>
      <w:rFonts w:ascii="Arial" w:eastAsia="Arial Unicode MS" w:hAnsi="Arial" w:cs="Arial"/>
      <w:color w:val="000000"/>
      <w:szCs w:val="20"/>
    </w:rPr>
  </w:style>
  <w:style w:type="paragraph" w:customStyle="1" w:styleId="HeadingSalutation">
    <w:name w:val="Heading Salutation"/>
    <w:basedOn w:val="Normal"/>
    <w:rsid w:val="00686E79"/>
    <w:pPr>
      <w:spacing w:after="120" w:line="300" w:lineRule="atLeast"/>
      <w:jc w:val="both"/>
    </w:pPr>
    <w:rPr>
      <w:rFonts w:ascii="Arial" w:eastAsia="Arial Unicode MS" w:hAnsi="Arial" w:cs="Arial"/>
      <w:color w:val="000000"/>
      <w:szCs w:val="20"/>
    </w:rPr>
  </w:style>
  <w:style w:type="paragraph" w:customStyle="1" w:styleId="IgnoredSpacing">
    <w:name w:val="Ignored Spacing"/>
    <w:link w:val="IgnoredSpacingChar"/>
    <w:rsid w:val="00686E79"/>
    <w:pPr>
      <w:spacing w:after="120" w:line="240" w:lineRule="auto"/>
    </w:pPr>
    <w:rPr>
      <w:rFonts w:ascii="Arial" w:eastAsia="Arial Unicode MS" w:hAnsi="Arial" w:cs="Arial"/>
      <w:color w:val="000000"/>
      <w:sz w:val="24"/>
      <w:szCs w:val="24"/>
      <w:lang w:val="en-US" w:eastAsia="en-US"/>
    </w:rPr>
  </w:style>
  <w:style w:type="character" w:customStyle="1" w:styleId="IgnoredSpacingChar">
    <w:name w:val="Ignored Spacing Char"/>
    <w:link w:val="IgnoredSpacing"/>
    <w:rsid w:val="00686E79"/>
    <w:rPr>
      <w:rFonts w:ascii="Arial" w:eastAsia="Arial Unicode MS" w:hAnsi="Arial" w:cs="Arial"/>
      <w:color w:val="000000"/>
      <w:sz w:val="24"/>
      <w:szCs w:val="24"/>
      <w:lang w:val="en-US" w:eastAsia="en-US"/>
    </w:rPr>
  </w:style>
  <w:style w:type="paragraph" w:customStyle="1" w:styleId="InternalAuthor">
    <w:name w:val="Internal Author"/>
    <w:link w:val="InternalAuthorChar"/>
    <w:rsid w:val="00686E79"/>
    <w:pPr>
      <w:spacing w:after="120" w:line="240" w:lineRule="auto"/>
    </w:pPr>
    <w:rPr>
      <w:rFonts w:ascii="Arial" w:eastAsia="Arial Unicode MS" w:hAnsi="Arial" w:cs="Arial"/>
      <w:color w:val="000000"/>
      <w:sz w:val="24"/>
      <w:lang w:val="en-US" w:eastAsia="en-US"/>
    </w:rPr>
  </w:style>
  <w:style w:type="character" w:customStyle="1" w:styleId="InternalAuthorChar">
    <w:name w:val="Internal Author Char"/>
    <w:link w:val="InternalAuthor"/>
    <w:rsid w:val="00686E79"/>
    <w:rPr>
      <w:rFonts w:ascii="Arial" w:eastAsia="Arial Unicode MS" w:hAnsi="Arial" w:cs="Arial"/>
      <w:color w:val="000000"/>
      <w:sz w:val="24"/>
      <w:lang w:val="en-US" w:eastAsia="en-US"/>
    </w:rPr>
  </w:style>
  <w:style w:type="paragraph" w:customStyle="1" w:styleId="MaintenanceEditor">
    <w:name w:val="Maintenance Editor"/>
    <w:link w:val="MaintenanceEditorChar"/>
    <w:rsid w:val="00686E79"/>
    <w:pPr>
      <w:spacing w:after="120" w:line="240" w:lineRule="auto"/>
    </w:pPr>
    <w:rPr>
      <w:rFonts w:ascii="Arial" w:eastAsia="Arial Unicode MS" w:hAnsi="Arial" w:cs="Arial"/>
      <w:color w:val="000000"/>
      <w:sz w:val="24"/>
      <w:lang w:val="en-US" w:eastAsia="en-US"/>
    </w:rPr>
  </w:style>
  <w:style w:type="character" w:customStyle="1" w:styleId="MaintenanceEditorChar">
    <w:name w:val="Maintenance Editor Char"/>
    <w:link w:val="MaintenanceEditor"/>
    <w:rsid w:val="00686E79"/>
    <w:rPr>
      <w:rFonts w:ascii="Arial" w:eastAsia="Arial Unicode MS" w:hAnsi="Arial" w:cs="Arial"/>
      <w:color w:val="000000"/>
      <w:sz w:val="24"/>
      <w:lang w:val="en-US" w:eastAsia="en-US"/>
    </w:rPr>
  </w:style>
  <w:style w:type="paragraph" w:customStyle="1" w:styleId="ParaClause">
    <w:name w:val="Para Clause"/>
    <w:basedOn w:val="Normal"/>
    <w:rsid w:val="00686E79"/>
    <w:pPr>
      <w:spacing w:before="120" w:after="120" w:line="300" w:lineRule="atLeast"/>
      <w:ind w:left="720"/>
      <w:jc w:val="both"/>
    </w:pPr>
    <w:rPr>
      <w:rFonts w:ascii="Arial" w:eastAsia="Arial Unicode MS" w:hAnsi="Arial" w:cs="Arial"/>
      <w:color w:val="000000"/>
      <w:szCs w:val="20"/>
    </w:rPr>
  </w:style>
  <w:style w:type="paragraph" w:customStyle="1" w:styleId="Parasubclause1">
    <w:name w:val="Para subclause 1"/>
    <w:aliases w:val="BIWS Heading 2"/>
    <w:basedOn w:val="Normal"/>
    <w:rsid w:val="00686E79"/>
    <w:pPr>
      <w:spacing w:before="240" w:after="120" w:line="300" w:lineRule="atLeast"/>
      <w:ind w:left="720"/>
      <w:jc w:val="both"/>
    </w:pPr>
    <w:rPr>
      <w:rFonts w:ascii="Arial" w:eastAsia="Arial Unicode MS" w:hAnsi="Arial" w:cs="Arial"/>
      <w:color w:val="000000"/>
      <w:szCs w:val="20"/>
    </w:rPr>
  </w:style>
  <w:style w:type="paragraph" w:customStyle="1" w:styleId="Untitledsubclause1">
    <w:name w:val="Untitled subclause 1"/>
    <w:basedOn w:val="Normal"/>
    <w:rsid w:val="00686E79"/>
    <w:pPr>
      <w:numPr>
        <w:ilvl w:val="1"/>
        <w:numId w:val="41"/>
      </w:numPr>
      <w:spacing w:before="280" w:after="120" w:line="300" w:lineRule="atLeast"/>
      <w:jc w:val="both"/>
      <w:outlineLvl w:val="1"/>
    </w:pPr>
    <w:rPr>
      <w:rFonts w:ascii="Arial" w:eastAsia="Arial Unicode MS" w:hAnsi="Arial" w:cs="Arial"/>
      <w:color w:val="000000"/>
      <w:szCs w:val="20"/>
    </w:rPr>
  </w:style>
  <w:style w:type="paragraph" w:customStyle="1" w:styleId="Parasubclause2">
    <w:name w:val="Para subclause 2"/>
    <w:aliases w:val="BIWS Heading 3"/>
    <w:basedOn w:val="Normal"/>
    <w:rsid w:val="00686E79"/>
    <w:pPr>
      <w:spacing w:after="240" w:line="300" w:lineRule="atLeast"/>
      <w:ind w:left="1559"/>
      <w:jc w:val="both"/>
    </w:pPr>
    <w:rPr>
      <w:rFonts w:ascii="Arial" w:eastAsia="Arial Unicode MS" w:hAnsi="Arial" w:cs="Arial"/>
      <w:color w:val="000000"/>
      <w:szCs w:val="20"/>
    </w:rPr>
  </w:style>
  <w:style w:type="paragraph" w:customStyle="1" w:styleId="Untitledsubclause2">
    <w:name w:val="Untitled subclause 2"/>
    <w:basedOn w:val="Normal"/>
    <w:rsid w:val="00686E79"/>
    <w:pPr>
      <w:numPr>
        <w:ilvl w:val="2"/>
        <w:numId w:val="41"/>
      </w:numPr>
      <w:spacing w:after="120" w:line="300" w:lineRule="atLeast"/>
      <w:jc w:val="both"/>
      <w:outlineLvl w:val="2"/>
    </w:pPr>
    <w:rPr>
      <w:rFonts w:ascii="Arial" w:eastAsia="Arial Unicode MS" w:hAnsi="Arial" w:cs="Arial"/>
      <w:color w:val="000000"/>
      <w:szCs w:val="20"/>
    </w:rPr>
  </w:style>
  <w:style w:type="paragraph" w:customStyle="1" w:styleId="Parasubclause3">
    <w:name w:val="Para subclause 3"/>
    <w:aliases w:val="BIWS Heading 4"/>
    <w:basedOn w:val="Normal"/>
    <w:next w:val="Untitledsubclause2"/>
    <w:rsid w:val="00686E79"/>
    <w:pPr>
      <w:spacing w:after="120" w:line="300" w:lineRule="atLeast"/>
      <w:ind w:left="2268"/>
      <w:jc w:val="both"/>
    </w:pPr>
    <w:rPr>
      <w:rFonts w:ascii="Arial" w:eastAsia="Arial Unicode MS" w:hAnsi="Arial" w:cs="Arial"/>
      <w:color w:val="000000"/>
      <w:szCs w:val="20"/>
    </w:rPr>
  </w:style>
  <w:style w:type="paragraph" w:customStyle="1" w:styleId="Untitledsubclause3">
    <w:name w:val="Untitled subclause 3"/>
    <w:basedOn w:val="Normal"/>
    <w:rsid w:val="00686E79"/>
    <w:pPr>
      <w:numPr>
        <w:ilvl w:val="3"/>
        <w:numId w:val="41"/>
      </w:numPr>
      <w:tabs>
        <w:tab w:val="left" w:pos="2261"/>
      </w:tabs>
      <w:spacing w:after="120" w:line="300" w:lineRule="atLeast"/>
      <w:jc w:val="both"/>
      <w:outlineLvl w:val="3"/>
    </w:pPr>
    <w:rPr>
      <w:rFonts w:ascii="Arial" w:eastAsia="Arial Unicode MS" w:hAnsi="Arial" w:cs="Arial"/>
      <w:color w:val="000000"/>
      <w:szCs w:val="20"/>
    </w:rPr>
  </w:style>
  <w:style w:type="paragraph" w:customStyle="1" w:styleId="Parasubclause4">
    <w:name w:val="Para subclause 4"/>
    <w:aliases w:val="BIWS Heading 5"/>
    <w:basedOn w:val="Parasubclause3"/>
    <w:rsid w:val="00686E79"/>
    <w:pPr>
      <w:spacing w:after="240"/>
      <w:ind w:left="3028"/>
    </w:pPr>
  </w:style>
  <w:style w:type="paragraph" w:customStyle="1" w:styleId="Untitledsubclause4">
    <w:name w:val="Untitled subclause 4"/>
    <w:basedOn w:val="Normal"/>
    <w:rsid w:val="00686E79"/>
    <w:pPr>
      <w:numPr>
        <w:ilvl w:val="4"/>
        <w:numId w:val="41"/>
      </w:numPr>
      <w:spacing w:after="120" w:line="300" w:lineRule="atLeast"/>
      <w:jc w:val="both"/>
      <w:outlineLvl w:val="4"/>
    </w:pPr>
    <w:rPr>
      <w:rFonts w:ascii="Arial" w:eastAsia="Arial Unicode MS" w:hAnsi="Arial" w:cs="Arial"/>
      <w:color w:val="000000"/>
      <w:szCs w:val="20"/>
    </w:rPr>
  </w:style>
  <w:style w:type="paragraph" w:customStyle="1" w:styleId="Para">
    <w:name w:val="Para"/>
    <w:aliases w:val="PLC Style - Normal"/>
    <w:basedOn w:val="Normal"/>
    <w:rsid w:val="00686E79"/>
    <w:pPr>
      <w:spacing w:after="120" w:line="300" w:lineRule="atLeast"/>
      <w:jc w:val="both"/>
    </w:pPr>
    <w:rPr>
      <w:rFonts w:ascii="Arial" w:eastAsia="Arial Unicode MS" w:hAnsi="Arial" w:cs="Arial"/>
      <w:color w:val="000000"/>
      <w:szCs w:val="20"/>
    </w:rPr>
  </w:style>
  <w:style w:type="paragraph" w:customStyle="1" w:styleId="Parties">
    <w:name w:val="Parties"/>
    <w:aliases w:val="(1) Parties"/>
    <w:basedOn w:val="Normal"/>
    <w:rsid w:val="00686E79"/>
    <w:pPr>
      <w:numPr>
        <w:numId w:val="5"/>
      </w:numPr>
      <w:spacing w:before="120" w:after="120" w:line="300" w:lineRule="atLeast"/>
      <w:jc w:val="both"/>
    </w:pPr>
    <w:rPr>
      <w:rFonts w:ascii="Arial" w:eastAsia="Arial Unicode MS" w:hAnsi="Arial" w:cs="Arial"/>
      <w:color w:val="000000"/>
      <w:szCs w:val="20"/>
    </w:rPr>
  </w:style>
  <w:style w:type="paragraph" w:customStyle="1" w:styleId="ResourceHistoryAuthor">
    <w:name w:val="Resource History Author"/>
    <w:link w:val="ResourceHistoryAuthorChar"/>
    <w:rsid w:val="00686E79"/>
    <w:pPr>
      <w:spacing w:after="120" w:line="240" w:lineRule="auto"/>
    </w:pPr>
    <w:rPr>
      <w:rFonts w:ascii="Arial" w:eastAsia="Arial Unicode MS" w:hAnsi="Arial" w:cs="Arial"/>
      <w:color w:val="000000"/>
      <w:sz w:val="24"/>
      <w:szCs w:val="24"/>
      <w:lang w:val="en-US" w:eastAsia="en-US"/>
    </w:rPr>
  </w:style>
  <w:style w:type="character" w:customStyle="1" w:styleId="ResourceHistoryAuthorChar">
    <w:name w:val="Resource History Author Char"/>
    <w:link w:val="ResourceHistoryAuthor"/>
    <w:rsid w:val="00686E79"/>
    <w:rPr>
      <w:rFonts w:ascii="Arial" w:eastAsia="Arial Unicode MS" w:hAnsi="Arial" w:cs="Arial"/>
      <w:color w:val="000000"/>
      <w:sz w:val="24"/>
      <w:szCs w:val="24"/>
      <w:lang w:val="en-US" w:eastAsia="en-US"/>
    </w:rPr>
  </w:style>
  <w:style w:type="paragraph" w:customStyle="1" w:styleId="ResourceHistoryDate">
    <w:name w:val="Resource History Date"/>
    <w:link w:val="ResourceHistoryDateChar"/>
    <w:rsid w:val="00686E79"/>
    <w:pPr>
      <w:spacing w:after="120" w:line="240" w:lineRule="auto"/>
    </w:pPr>
    <w:rPr>
      <w:rFonts w:ascii="Arial" w:eastAsia="Arial Unicode MS" w:hAnsi="Arial" w:cs="Arial"/>
      <w:color w:val="000000"/>
      <w:sz w:val="24"/>
      <w:szCs w:val="24"/>
      <w:lang w:val="en-US" w:eastAsia="en-US"/>
    </w:rPr>
  </w:style>
  <w:style w:type="character" w:customStyle="1" w:styleId="ResourceHistoryDateChar">
    <w:name w:val="Resource History Date Char"/>
    <w:link w:val="ResourceHistoryDate"/>
    <w:rsid w:val="00686E79"/>
    <w:rPr>
      <w:rFonts w:ascii="Arial" w:eastAsia="Arial Unicode MS" w:hAnsi="Arial" w:cs="Arial"/>
      <w:color w:val="000000"/>
      <w:sz w:val="24"/>
      <w:szCs w:val="24"/>
      <w:lang w:val="en-US" w:eastAsia="en-US"/>
    </w:rPr>
  </w:style>
  <w:style w:type="paragraph" w:customStyle="1" w:styleId="ResourceHistoryDesc">
    <w:name w:val="Resource History Desc"/>
    <w:link w:val="ResourceHistoryDescChar"/>
    <w:rsid w:val="00686E79"/>
    <w:pPr>
      <w:spacing w:after="120" w:line="240" w:lineRule="auto"/>
    </w:pPr>
    <w:rPr>
      <w:rFonts w:ascii="Verdana" w:eastAsia="Times New Roman" w:hAnsi="Verdana" w:cs="Verdana"/>
      <w:color w:val="000000"/>
      <w:sz w:val="18"/>
      <w:szCs w:val="24"/>
      <w:lang w:val="en-US" w:eastAsia="en-US"/>
    </w:rPr>
  </w:style>
  <w:style w:type="character" w:customStyle="1" w:styleId="ResourceHistoryDescChar">
    <w:name w:val="Resource History Desc Char"/>
    <w:link w:val="ResourceHistoryDesc"/>
    <w:rsid w:val="00686E79"/>
    <w:rPr>
      <w:rFonts w:ascii="Verdana" w:eastAsia="Times New Roman" w:hAnsi="Verdana" w:cs="Verdana"/>
      <w:color w:val="000000"/>
      <w:sz w:val="18"/>
      <w:szCs w:val="24"/>
      <w:lang w:val="en-US" w:eastAsia="en-US"/>
    </w:rPr>
  </w:style>
  <w:style w:type="paragraph" w:customStyle="1" w:styleId="ResourceHistoryTitle">
    <w:name w:val="Resource History Title"/>
    <w:link w:val="ResourceHistoryTitleChar"/>
    <w:rsid w:val="00686E79"/>
    <w:pPr>
      <w:spacing w:after="120" w:line="240" w:lineRule="auto"/>
    </w:pPr>
    <w:rPr>
      <w:rFonts w:ascii="Arial" w:eastAsia="Arial Unicode MS" w:hAnsi="Arial" w:cs="Arial"/>
      <w:b/>
      <w:bCs/>
      <w:color w:val="000000"/>
      <w:sz w:val="24"/>
      <w:lang w:val="en-US" w:eastAsia="en-US"/>
    </w:rPr>
  </w:style>
  <w:style w:type="character" w:customStyle="1" w:styleId="ResourceHistoryTitleChar">
    <w:name w:val="Resource History Title Char"/>
    <w:link w:val="ResourceHistoryTitle"/>
    <w:rsid w:val="00686E79"/>
    <w:rPr>
      <w:rFonts w:ascii="Arial" w:eastAsia="Arial Unicode MS" w:hAnsi="Arial" w:cs="Arial"/>
      <w:b/>
      <w:bCs/>
      <w:color w:val="000000"/>
      <w:sz w:val="24"/>
      <w:lang w:val="en-US" w:eastAsia="en-US"/>
    </w:rPr>
  </w:style>
  <w:style w:type="paragraph" w:customStyle="1" w:styleId="ResourceType">
    <w:name w:val="Resource Type"/>
    <w:link w:val="ResourceTypeChar"/>
    <w:rsid w:val="00686E79"/>
    <w:pPr>
      <w:spacing w:after="120" w:line="240" w:lineRule="auto"/>
    </w:pPr>
    <w:rPr>
      <w:rFonts w:ascii="Arial" w:eastAsia="Arial Unicode MS" w:hAnsi="Arial" w:cs="Arial"/>
      <w:color w:val="000000"/>
      <w:sz w:val="24"/>
      <w:szCs w:val="24"/>
      <w:lang w:val="en-US" w:eastAsia="en-US"/>
    </w:rPr>
  </w:style>
  <w:style w:type="character" w:customStyle="1" w:styleId="ResourceTypeChar">
    <w:name w:val="Resource Type Char"/>
    <w:link w:val="ResourceType"/>
    <w:rsid w:val="00686E79"/>
    <w:rPr>
      <w:rFonts w:ascii="Arial" w:eastAsia="Arial Unicode MS" w:hAnsi="Arial" w:cs="Arial"/>
      <w:color w:val="000000"/>
      <w:sz w:val="24"/>
      <w:szCs w:val="24"/>
      <w:lang w:val="en-US" w:eastAsia="en-US"/>
    </w:rPr>
  </w:style>
  <w:style w:type="paragraph" w:customStyle="1" w:styleId="ScheduleHeading-Single">
    <w:name w:val="Schedule Heading - Single"/>
    <w:aliases w:val="Sch   main head inc single"/>
    <w:basedOn w:val="Normal"/>
    <w:next w:val="Normal"/>
    <w:rsid w:val="00686E79"/>
    <w:pPr>
      <w:numPr>
        <w:numId w:val="6"/>
      </w:numPr>
      <w:spacing w:before="240" w:after="360" w:line="300" w:lineRule="atLeast"/>
      <w:jc w:val="both"/>
    </w:pPr>
    <w:rPr>
      <w:rFonts w:ascii="Arial" w:eastAsia="Arial Unicode MS" w:hAnsi="Arial" w:cs="Arial"/>
      <w:b/>
      <w:color w:val="000000"/>
      <w:kern w:val="28"/>
      <w:szCs w:val="20"/>
    </w:rPr>
  </w:style>
  <w:style w:type="paragraph" w:customStyle="1" w:styleId="ScheduleHeading">
    <w:name w:val="Schedule Heading"/>
    <w:aliases w:val="Sch   main head"/>
    <w:basedOn w:val="Normal"/>
    <w:next w:val="Normal"/>
    <w:autoRedefine/>
    <w:rsid w:val="00686E79"/>
    <w:pPr>
      <w:keepNext/>
      <w:pageBreakBefore/>
      <w:numPr>
        <w:numId w:val="7"/>
      </w:numPr>
      <w:spacing w:before="240" w:after="360" w:line="300" w:lineRule="atLeast"/>
      <w:jc w:val="center"/>
      <w:outlineLvl w:val="0"/>
    </w:pPr>
    <w:rPr>
      <w:rFonts w:ascii="Arial" w:eastAsia="Arial Unicode MS" w:hAnsi="Arial" w:cs="Arial"/>
      <w:b/>
      <w:color w:val="000000"/>
      <w:kern w:val="28"/>
      <w:szCs w:val="20"/>
    </w:rPr>
  </w:style>
  <w:style w:type="paragraph" w:customStyle="1" w:styleId="SectionHeading">
    <w:name w:val="Section Heading"/>
    <w:aliases w:val="1stIntroHeadings"/>
    <w:basedOn w:val="Normal"/>
    <w:next w:val="Normal"/>
    <w:rsid w:val="00686E79"/>
    <w:pPr>
      <w:tabs>
        <w:tab w:val="left" w:pos="709"/>
      </w:tabs>
      <w:spacing w:before="120" w:after="120" w:line="300" w:lineRule="atLeast"/>
      <w:jc w:val="both"/>
    </w:pPr>
    <w:rPr>
      <w:rFonts w:ascii="Arial" w:eastAsia="Arial Unicode MS" w:hAnsi="Arial" w:cs="Arial"/>
      <w:b/>
      <w:smallCaps/>
      <w:color w:val="000000"/>
      <w:szCs w:val="20"/>
    </w:rPr>
  </w:style>
  <w:style w:type="paragraph" w:customStyle="1" w:styleId="Shortquestion">
    <w:name w:val="Shortquestion"/>
    <w:basedOn w:val="Normal"/>
    <w:rsid w:val="00686E79"/>
    <w:pPr>
      <w:spacing w:after="120" w:line="300" w:lineRule="atLeast"/>
      <w:jc w:val="both"/>
    </w:pPr>
    <w:rPr>
      <w:rFonts w:ascii="Arial" w:eastAsia="Arial Unicode MS" w:hAnsi="Arial" w:cs="Arial"/>
      <w:color w:val="000000"/>
      <w:szCs w:val="20"/>
    </w:rPr>
  </w:style>
  <w:style w:type="paragraph" w:customStyle="1" w:styleId="SpeedreadPara">
    <w:name w:val="Speedread Para"/>
    <w:basedOn w:val="Normal"/>
    <w:rsid w:val="00686E79"/>
    <w:pPr>
      <w:spacing w:after="120" w:line="300" w:lineRule="atLeast"/>
      <w:jc w:val="both"/>
    </w:pPr>
    <w:rPr>
      <w:rFonts w:ascii="Arial" w:eastAsia="Arial Unicode MS" w:hAnsi="Arial" w:cs="Arial"/>
      <w:color w:val="000000"/>
      <w:szCs w:val="20"/>
    </w:rPr>
  </w:style>
  <w:style w:type="paragraph" w:customStyle="1" w:styleId="SpeedreadSection1Para">
    <w:name w:val="Speedread Section1 Para"/>
    <w:basedOn w:val="Normal"/>
    <w:rsid w:val="00686E79"/>
    <w:pPr>
      <w:spacing w:after="120" w:line="300" w:lineRule="atLeast"/>
      <w:jc w:val="both"/>
    </w:pPr>
    <w:rPr>
      <w:rFonts w:ascii="Arial" w:eastAsia="Arial Unicode MS" w:hAnsi="Arial" w:cs="Arial"/>
      <w:color w:val="000000"/>
      <w:szCs w:val="20"/>
    </w:rPr>
  </w:style>
  <w:style w:type="paragraph" w:customStyle="1" w:styleId="SpeedreadSection1Text">
    <w:name w:val="Speedread Section1 Text"/>
    <w:basedOn w:val="Normal"/>
    <w:rsid w:val="00686E79"/>
    <w:pPr>
      <w:spacing w:after="120" w:line="300" w:lineRule="atLeast"/>
      <w:jc w:val="both"/>
    </w:pPr>
    <w:rPr>
      <w:rFonts w:ascii="Arial" w:eastAsia="Arial Unicode MS" w:hAnsi="Arial" w:cs="Arial"/>
      <w:color w:val="000000"/>
      <w:szCs w:val="20"/>
    </w:rPr>
  </w:style>
  <w:style w:type="paragraph" w:customStyle="1" w:styleId="SpeedreadText">
    <w:name w:val="Speedread Text"/>
    <w:basedOn w:val="Normal"/>
    <w:rsid w:val="00686E79"/>
    <w:pPr>
      <w:spacing w:after="120" w:line="300" w:lineRule="atLeast"/>
      <w:jc w:val="both"/>
    </w:pPr>
    <w:rPr>
      <w:rFonts w:ascii="Arial" w:eastAsia="Arial Unicode MS" w:hAnsi="Arial" w:cs="Arial"/>
      <w:color w:val="000000"/>
      <w:szCs w:val="20"/>
    </w:rPr>
  </w:style>
  <w:style w:type="paragraph" w:customStyle="1" w:styleId="SpeedreadTitle">
    <w:name w:val="Speedread Title"/>
    <w:basedOn w:val="Normal"/>
    <w:rsid w:val="00686E79"/>
    <w:pPr>
      <w:spacing w:after="120" w:line="300" w:lineRule="atLeast"/>
      <w:jc w:val="both"/>
    </w:pPr>
    <w:rPr>
      <w:rFonts w:ascii="Arial" w:eastAsia="Arial Unicode MS" w:hAnsi="Arial" w:cs="Arial"/>
      <w:b/>
      <w:color w:val="000000"/>
      <w:sz w:val="36"/>
      <w:szCs w:val="20"/>
    </w:rPr>
  </w:style>
  <w:style w:type="paragraph" w:customStyle="1" w:styleId="TemplateType">
    <w:name w:val="Template Type"/>
    <w:link w:val="TemplateTypeChar"/>
    <w:rsid w:val="00686E79"/>
    <w:pPr>
      <w:spacing w:after="120" w:line="240" w:lineRule="auto"/>
    </w:pPr>
    <w:rPr>
      <w:rFonts w:ascii="Arial" w:eastAsia="Arial Unicode MS" w:hAnsi="Arial" w:cs="Arial"/>
      <w:color w:val="000000"/>
      <w:sz w:val="24"/>
      <w:szCs w:val="24"/>
      <w:lang w:val="en-US" w:eastAsia="en-US"/>
    </w:rPr>
  </w:style>
  <w:style w:type="character" w:customStyle="1" w:styleId="TemplateTypeChar">
    <w:name w:val="Template Type Char"/>
    <w:link w:val="TemplateType"/>
    <w:rsid w:val="00686E79"/>
    <w:rPr>
      <w:rFonts w:ascii="Arial" w:eastAsia="Arial Unicode MS" w:hAnsi="Arial" w:cs="Arial"/>
      <w:color w:val="000000"/>
      <w:sz w:val="24"/>
      <w:szCs w:val="24"/>
      <w:lang w:val="en-US" w:eastAsia="en-US"/>
    </w:rPr>
  </w:style>
  <w:style w:type="paragraph" w:styleId="Title">
    <w:name w:val="Title"/>
    <w:link w:val="TitleChar"/>
    <w:rsid w:val="00686E79"/>
    <w:pPr>
      <w:spacing w:after="120" w:line="240" w:lineRule="auto"/>
    </w:pPr>
    <w:rPr>
      <w:rFonts w:ascii="Arial" w:eastAsia="Arial Unicode MS" w:hAnsi="Arial" w:cs="Arial"/>
      <w:color w:val="000000"/>
      <w:sz w:val="24"/>
      <w:lang w:val="en-US" w:eastAsia="en-US"/>
    </w:rPr>
  </w:style>
  <w:style w:type="character" w:customStyle="1" w:styleId="TitleChar">
    <w:name w:val="Title Char"/>
    <w:link w:val="Title"/>
    <w:rsid w:val="00686E79"/>
    <w:rPr>
      <w:rFonts w:ascii="Arial" w:eastAsia="Arial Unicode MS" w:hAnsi="Arial" w:cs="Arial"/>
      <w:color w:val="000000"/>
      <w:sz w:val="24"/>
      <w:lang w:val="en-US" w:eastAsia="en-US"/>
    </w:rPr>
  </w:style>
  <w:style w:type="paragraph" w:styleId="Footer">
    <w:name w:val="footer"/>
    <w:basedOn w:val="Normal"/>
    <w:link w:val="FooterChar"/>
    <w:rsid w:val="00686E79"/>
    <w:pPr>
      <w:tabs>
        <w:tab w:val="center" w:pos="4153"/>
        <w:tab w:val="right" w:pos="8306"/>
      </w:tabs>
      <w:spacing w:after="240" w:line="300" w:lineRule="atLeast"/>
      <w:jc w:val="both"/>
    </w:pPr>
    <w:rPr>
      <w:rFonts w:ascii="Times New Roman" w:eastAsia="Times New Roman" w:hAnsi="Times New Roman" w:cs="Times New Roman"/>
      <w:color w:val="000000"/>
      <w:szCs w:val="20"/>
    </w:rPr>
  </w:style>
  <w:style w:type="character" w:customStyle="1" w:styleId="FooterChar">
    <w:name w:val="Footer Char"/>
    <w:basedOn w:val="DefaultParagraphFont"/>
    <w:link w:val="Footer"/>
    <w:rsid w:val="00686E79"/>
    <w:rPr>
      <w:rFonts w:ascii="Times New Roman" w:eastAsia="Times New Roman" w:hAnsi="Times New Roman" w:cs="Times New Roman"/>
      <w:color w:val="000000"/>
      <w:szCs w:val="20"/>
      <w:lang w:eastAsia="en-US"/>
    </w:rPr>
  </w:style>
  <w:style w:type="character" w:styleId="Hyperlink">
    <w:name w:val="Hyperlink"/>
    <w:basedOn w:val="DefaultParagraphFont"/>
    <w:uiPriority w:val="99"/>
    <w:rsid w:val="00686E79"/>
    <w:rPr>
      <w:i/>
      <w:color w:val="000000"/>
      <w:u w:val="single"/>
    </w:rPr>
  </w:style>
  <w:style w:type="paragraph" w:customStyle="1" w:styleId="Bullet4">
    <w:name w:val="Bullet4"/>
    <w:basedOn w:val="Normal"/>
    <w:rsid w:val="00686E79"/>
    <w:pPr>
      <w:numPr>
        <w:numId w:val="9"/>
      </w:numPr>
      <w:spacing w:after="240" w:line="240" w:lineRule="auto"/>
      <w:jc w:val="both"/>
    </w:pPr>
    <w:rPr>
      <w:rFonts w:ascii="Times New Roman" w:eastAsia="Times New Roman" w:hAnsi="Times New Roman" w:cs="Times New Roman"/>
      <w:color w:val="000000"/>
      <w:szCs w:val="20"/>
    </w:rPr>
  </w:style>
  <w:style w:type="paragraph" w:customStyle="1" w:styleId="Paragraph">
    <w:name w:val="Paragraph"/>
    <w:basedOn w:val="Normal"/>
    <w:link w:val="ParagraphChar"/>
    <w:qFormat/>
    <w:rsid w:val="00686E79"/>
    <w:pPr>
      <w:spacing w:after="120" w:line="300" w:lineRule="atLeast"/>
      <w:jc w:val="both"/>
    </w:pPr>
    <w:rPr>
      <w:rFonts w:ascii="Arial" w:eastAsia="Arial Unicode MS" w:hAnsi="Arial" w:cs="Arial"/>
      <w:color w:val="000000"/>
      <w:szCs w:val="20"/>
    </w:rPr>
  </w:style>
  <w:style w:type="paragraph" w:customStyle="1" w:styleId="IgnoredTemplateText">
    <w:name w:val="Ignored Template Text"/>
    <w:link w:val="IgnoredTemplateTextChar"/>
    <w:rsid w:val="00686E79"/>
    <w:pPr>
      <w:pBdr>
        <w:top w:val="single" w:sz="4" w:space="1" w:color="auto"/>
        <w:left w:val="single" w:sz="4" w:space="4" w:color="auto"/>
        <w:bottom w:val="single" w:sz="4" w:space="1" w:color="auto"/>
        <w:right w:val="single" w:sz="4" w:space="4" w:color="auto"/>
      </w:pBdr>
      <w:shd w:val="pct15" w:color="auto" w:fill="FBD4B4" w:themeFill="accent6" w:themeFillTint="66"/>
      <w:spacing w:after="120" w:line="240" w:lineRule="auto"/>
    </w:pPr>
    <w:rPr>
      <w:rFonts w:ascii="Arial" w:eastAsia="Arial Unicode MS" w:hAnsi="Arial" w:cs="Arial"/>
      <w:b/>
      <w:i/>
      <w:color w:val="000000"/>
      <w:szCs w:val="18"/>
      <w:lang w:val="en-US" w:eastAsia="en-US"/>
    </w:rPr>
  </w:style>
  <w:style w:type="character" w:customStyle="1" w:styleId="IgnoredTemplateTextChar">
    <w:name w:val="Ignored Template Text Char"/>
    <w:link w:val="IgnoredTemplateText"/>
    <w:rsid w:val="00686E79"/>
    <w:rPr>
      <w:rFonts w:ascii="Arial" w:eastAsia="Arial Unicode MS" w:hAnsi="Arial" w:cs="Arial"/>
      <w:b/>
      <w:i/>
      <w:color w:val="000000"/>
      <w:szCs w:val="18"/>
      <w:shd w:val="pct15" w:color="auto" w:fill="FBD4B4" w:themeFill="accent6" w:themeFillTint="66"/>
      <w:lang w:val="en-US" w:eastAsia="en-US"/>
    </w:rPr>
  </w:style>
  <w:style w:type="paragraph" w:customStyle="1" w:styleId="InternalTOC">
    <w:name w:val="Internal TOC"/>
    <w:rsid w:val="00686E79"/>
    <w:pPr>
      <w:spacing w:after="120" w:line="240" w:lineRule="auto"/>
    </w:pPr>
    <w:rPr>
      <w:rFonts w:ascii="Arial" w:eastAsia="Arial Unicode MS" w:hAnsi="Arial" w:cs="Arial"/>
      <w:color w:val="000000"/>
      <w:lang w:val="en-US" w:eastAsia="en-US"/>
    </w:rPr>
  </w:style>
  <w:style w:type="paragraph" w:customStyle="1" w:styleId="HeadingLevel1">
    <w:name w:val="Heading Level 1"/>
    <w:basedOn w:val="Normal"/>
    <w:next w:val="Paragraph"/>
    <w:rsid w:val="00686E79"/>
    <w:pPr>
      <w:keepNext/>
      <w:spacing w:after="120" w:line="300" w:lineRule="atLeast"/>
      <w:jc w:val="both"/>
      <w:outlineLvl w:val="1"/>
    </w:pPr>
    <w:rPr>
      <w:rFonts w:ascii="Arial" w:eastAsia="Arial Unicode MS" w:hAnsi="Arial" w:cs="Arial"/>
      <w:b/>
      <w:color w:val="000000"/>
      <w:sz w:val="36"/>
      <w:szCs w:val="20"/>
    </w:rPr>
  </w:style>
  <w:style w:type="paragraph" w:customStyle="1" w:styleId="HeadingLevel2">
    <w:name w:val="Heading Level 2"/>
    <w:basedOn w:val="Normal"/>
    <w:next w:val="Paragraph"/>
    <w:rsid w:val="00686E79"/>
    <w:pPr>
      <w:keepNext/>
      <w:spacing w:after="120" w:line="300" w:lineRule="atLeast"/>
      <w:jc w:val="both"/>
      <w:outlineLvl w:val="2"/>
    </w:pPr>
    <w:rPr>
      <w:rFonts w:ascii="Arial" w:eastAsia="Arial Unicode MS" w:hAnsi="Arial" w:cs="Arial"/>
      <w:b/>
      <w:color w:val="000000"/>
      <w:sz w:val="28"/>
      <w:szCs w:val="20"/>
    </w:rPr>
  </w:style>
  <w:style w:type="paragraph" w:customStyle="1" w:styleId="HeadingLevel3">
    <w:name w:val="Heading Level 3"/>
    <w:basedOn w:val="Normal"/>
    <w:next w:val="Paragraph"/>
    <w:rsid w:val="00686E79"/>
    <w:pPr>
      <w:keepNext/>
      <w:spacing w:after="120" w:line="300" w:lineRule="atLeast"/>
      <w:jc w:val="both"/>
      <w:outlineLvl w:val="3"/>
    </w:pPr>
    <w:rPr>
      <w:rFonts w:ascii="Arial" w:eastAsia="Arial Unicode MS" w:hAnsi="Arial" w:cs="Arial"/>
      <w:b/>
      <w:i/>
      <w:color w:val="000000"/>
      <w:sz w:val="28"/>
      <w:szCs w:val="20"/>
    </w:rPr>
  </w:style>
  <w:style w:type="paragraph" w:styleId="Header">
    <w:name w:val="header"/>
    <w:basedOn w:val="Normal"/>
    <w:link w:val="HeaderChar"/>
    <w:uiPriority w:val="99"/>
    <w:unhideWhenUsed/>
    <w:rsid w:val="00686E79"/>
    <w:pPr>
      <w:tabs>
        <w:tab w:val="center" w:pos="4513"/>
        <w:tab w:val="right" w:pos="9026"/>
      </w:tabs>
      <w:spacing w:after="0" w:line="240" w:lineRule="auto"/>
    </w:pPr>
    <w:rPr>
      <w:color w:val="000000"/>
    </w:rPr>
  </w:style>
  <w:style w:type="character" w:customStyle="1" w:styleId="HeaderChar">
    <w:name w:val="Header Char"/>
    <w:basedOn w:val="DefaultParagraphFont"/>
    <w:link w:val="Header"/>
    <w:uiPriority w:val="99"/>
    <w:rsid w:val="00686E79"/>
    <w:rPr>
      <w:color w:val="000000"/>
    </w:rPr>
  </w:style>
  <w:style w:type="character" w:styleId="PlaceholderText">
    <w:name w:val="Placeholder Text"/>
    <w:basedOn w:val="DefaultParagraphFont"/>
    <w:uiPriority w:val="99"/>
    <w:rsid w:val="00686E79"/>
    <w:rPr>
      <w:color w:val="000000"/>
    </w:rPr>
  </w:style>
  <w:style w:type="paragraph" w:styleId="BalloonText">
    <w:name w:val="Balloon Text"/>
    <w:basedOn w:val="Normal"/>
    <w:link w:val="BalloonTextChar"/>
    <w:uiPriority w:val="99"/>
    <w:semiHidden/>
    <w:unhideWhenUsed/>
    <w:rsid w:val="00686E79"/>
    <w:pPr>
      <w:spacing w:after="0" w:line="240" w:lineRule="auto"/>
    </w:pPr>
    <w:rPr>
      <w:rFonts w:ascii="Tahoma" w:hAnsi="Tahoma" w:cs="Tahoma"/>
      <w:color w:val="000000"/>
      <w:sz w:val="16"/>
      <w:szCs w:val="16"/>
    </w:rPr>
  </w:style>
  <w:style w:type="character" w:customStyle="1" w:styleId="BalloonTextChar">
    <w:name w:val="Balloon Text Char"/>
    <w:basedOn w:val="DefaultParagraphFont"/>
    <w:link w:val="BalloonText"/>
    <w:uiPriority w:val="99"/>
    <w:semiHidden/>
    <w:rsid w:val="00686E79"/>
    <w:rPr>
      <w:rFonts w:ascii="Tahoma" w:hAnsi="Tahoma" w:cs="Tahoma"/>
      <w:color w:val="000000"/>
      <w:sz w:val="16"/>
      <w:szCs w:val="16"/>
    </w:rPr>
  </w:style>
  <w:style w:type="paragraph" w:customStyle="1" w:styleId="PinPointRef">
    <w:name w:val="PinPoint Ref"/>
    <w:link w:val="PinPointRefChar"/>
    <w:qFormat/>
    <w:rsid w:val="00686E79"/>
    <w:pPr>
      <w:spacing w:after="0" w:line="240" w:lineRule="auto"/>
    </w:pPr>
    <w:rPr>
      <w:rFonts w:ascii="Times New Roman" w:eastAsia="Times New Roman" w:hAnsi="Times New Roman" w:cs="Times New Roman"/>
      <w:b/>
      <w:vanish/>
      <w:color w:val="000000"/>
      <w:sz w:val="18"/>
      <w:szCs w:val="20"/>
      <w:lang w:eastAsia="en-US"/>
    </w:rPr>
  </w:style>
  <w:style w:type="character" w:customStyle="1" w:styleId="PinPointRefChar">
    <w:name w:val="PinPoint Ref Char"/>
    <w:basedOn w:val="DefaultParagraphFont"/>
    <w:link w:val="PinPointRef"/>
    <w:rsid w:val="00686E79"/>
    <w:rPr>
      <w:rFonts w:ascii="Times New Roman" w:eastAsia="Times New Roman" w:hAnsi="Times New Roman" w:cs="Times New Roman"/>
      <w:b/>
      <w:vanish/>
      <w:color w:val="000000"/>
      <w:sz w:val="18"/>
      <w:szCs w:val="20"/>
      <w:lang w:eastAsia="en-US"/>
    </w:rPr>
  </w:style>
  <w:style w:type="paragraph" w:customStyle="1" w:styleId="BlockQuote">
    <w:name w:val="Block Quote"/>
    <w:link w:val="BlockQuoteChar"/>
    <w:qFormat/>
    <w:rsid w:val="00686E79"/>
    <w:pPr>
      <w:spacing w:before="120" w:after="0" w:line="240" w:lineRule="auto"/>
      <w:ind w:left="720"/>
    </w:pPr>
    <w:rPr>
      <w:rFonts w:ascii="Arial" w:eastAsia="Arial Unicode MS" w:hAnsi="Arial" w:cs="Arial"/>
      <w:color w:val="000000"/>
      <w:sz w:val="18"/>
      <w:szCs w:val="20"/>
      <w:lang w:eastAsia="en-US"/>
    </w:rPr>
  </w:style>
  <w:style w:type="character" w:customStyle="1" w:styleId="BlockQuoteChar">
    <w:name w:val="Block Quote Char"/>
    <w:basedOn w:val="DefaultParagraphFont"/>
    <w:link w:val="BlockQuote"/>
    <w:rsid w:val="00686E79"/>
    <w:rPr>
      <w:rFonts w:ascii="Arial" w:eastAsia="Arial Unicode MS" w:hAnsi="Arial" w:cs="Arial"/>
      <w:color w:val="000000"/>
      <w:sz w:val="18"/>
      <w:szCs w:val="20"/>
      <w:lang w:eastAsia="en-US"/>
    </w:rPr>
  </w:style>
  <w:style w:type="paragraph" w:customStyle="1" w:styleId="ListParagraphLevel1">
    <w:name w:val="List Paragraph Level 1"/>
    <w:link w:val="ListParagraphLevel1Char"/>
    <w:rsid w:val="00686E79"/>
    <w:pPr>
      <w:spacing w:after="120" w:line="240" w:lineRule="auto"/>
      <w:ind w:left="357"/>
      <w:jc w:val="both"/>
    </w:pPr>
    <w:rPr>
      <w:rFonts w:ascii="Arial" w:eastAsia="Arial Unicode MS" w:hAnsi="Arial" w:cs="Arial"/>
      <w:color w:val="000000"/>
      <w:szCs w:val="24"/>
      <w:lang w:val="en-US" w:eastAsia="en-US"/>
    </w:rPr>
  </w:style>
  <w:style w:type="paragraph" w:customStyle="1" w:styleId="ListParagraphLevel2">
    <w:name w:val="List Paragraph Level 2"/>
    <w:link w:val="ListParagraphLevel2Char"/>
    <w:qFormat/>
    <w:rsid w:val="00686E79"/>
    <w:pPr>
      <w:spacing w:after="120" w:line="240" w:lineRule="auto"/>
      <w:ind w:left="1077"/>
      <w:jc w:val="both"/>
    </w:pPr>
    <w:rPr>
      <w:rFonts w:ascii="Arial" w:eastAsia="Arial Unicode MS" w:hAnsi="Arial" w:cs="Arial"/>
      <w:color w:val="000000"/>
      <w:szCs w:val="24"/>
      <w:lang w:val="en-US" w:eastAsia="en-US"/>
    </w:rPr>
  </w:style>
  <w:style w:type="character" w:customStyle="1" w:styleId="ListParagraphLevel1Char">
    <w:name w:val="List Paragraph Level 1 Char"/>
    <w:basedOn w:val="DefaultParagraphFont"/>
    <w:link w:val="ListParagraphLevel1"/>
    <w:rsid w:val="00686E79"/>
    <w:rPr>
      <w:rFonts w:ascii="Arial" w:eastAsia="Arial Unicode MS" w:hAnsi="Arial" w:cs="Arial"/>
      <w:color w:val="000000"/>
      <w:szCs w:val="24"/>
      <w:lang w:val="en-US" w:eastAsia="en-US"/>
    </w:rPr>
  </w:style>
  <w:style w:type="character" w:customStyle="1" w:styleId="ListParagraphLevel2Char">
    <w:name w:val="List Paragraph Level 2 Char"/>
    <w:basedOn w:val="DefaultParagraphFont"/>
    <w:link w:val="ListParagraphLevel2"/>
    <w:rsid w:val="00686E79"/>
    <w:rPr>
      <w:rFonts w:ascii="Arial" w:eastAsia="Arial Unicode MS" w:hAnsi="Arial" w:cs="Arial"/>
      <w:color w:val="000000"/>
      <w:szCs w:val="24"/>
      <w:lang w:val="en-US" w:eastAsia="en-US"/>
    </w:rPr>
  </w:style>
  <w:style w:type="paragraph" w:customStyle="1" w:styleId="IntroDefault">
    <w:name w:val="Intro Default"/>
    <w:basedOn w:val="Paragraph"/>
    <w:qFormat/>
    <w:rsid w:val="00686E79"/>
  </w:style>
  <w:style w:type="paragraph" w:customStyle="1" w:styleId="IntroCustom">
    <w:name w:val="Intro Custom"/>
    <w:basedOn w:val="Paragraph"/>
    <w:qFormat/>
    <w:rsid w:val="00686E79"/>
  </w:style>
  <w:style w:type="paragraph" w:customStyle="1" w:styleId="PrecedentType">
    <w:name w:val="Precedent Type"/>
    <w:basedOn w:val="IgnoredSpacing"/>
    <w:qFormat/>
    <w:rsid w:val="00686E79"/>
  </w:style>
  <w:style w:type="paragraph" w:customStyle="1" w:styleId="Operative">
    <w:name w:val="Operative"/>
    <w:basedOn w:val="IgnoredSpacing"/>
    <w:qFormat/>
    <w:rsid w:val="00686E79"/>
    <w:rPr>
      <w:vanish/>
    </w:rPr>
  </w:style>
  <w:style w:type="paragraph" w:customStyle="1" w:styleId="SpeedreadBulletList1">
    <w:name w:val="Speedread Bullet List 1"/>
    <w:basedOn w:val="BulletList1"/>
    <w:qFormat/>
    <w:rsid w:val="00686E79"/>
  </w:style>
  <w:style w:type="paragraph" w:customStyle="1" w:styleId="PartiesTitle">
    <w:name w:val="Parties Title"/>
    <w:basedOn w:val="Paragraph"/>
    <w:qFormat/>
    <w:rsid w:val="00686E79"/>
    <w:rPr>
      <w:b/>
    </w:rPr>
  </w:style>
  <w:style w:type="table" w:styleId="TableGrid">
    <w:name w:val="Table Grid"/>
    <w:basedOn w:val="TableNormal"/>
    <w:rsid w:val="00686E79"/>
    <w:pPr>
      <w:spacing w:after="0" w:line="240" w:lineRule="auto"/>
    </w:pPr>
    <w:rPr>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QuestionParagraph">
    <w:name w:val="Question Paragraph"/>
    <w:link w:val="QuestionParagraphChar"/>
    <w:qFormat/>
    <w:rsid w:val="00686E79"/>
    <w:pPr>
      <w:numPr>
        <w:numId w:val="10"/>
      </w:numPr>
      <w:shd w:val="clear" w:color="auto" w:fill="D9D9D9" w:themeFill="background1" w:themeFillShade="D9"/>
      <w:spacing w:after="120" w:line="240" w:lineRule="auto"/>
      <w:ind w:left="357" w:hanging="357"/>
      <w:outlineLvl w:val="0"/>
    </w:pPr>
    <w:rPr>
      <w:rFonts w:ascii="Arial" w:eastAsia="Arial Unicode MS" w:hAnsi="Arial" w:cs="Arial"/>
      <w:color w:val="000000"/>
      <w:lang w:val="en-US" w:eastAsia="en-US"/>
    </w:rPr>
  </w:style>
  <w:style w:type="paragraph" w:customStyle="1" w:styleId="BulletList1Pattern">
    <w:name w:val="Bullet List 1 + Pattern"/>
    <w:basedOn w:val="BulletList1"/>
    <w:qFormat/>
    <w:rsid w:val="00686E79"/>
    <w:pPr>
      <w:shd w:val="clear" w:color="auto" w:fill="D9D9D9" w:themeFill="background1" w:themeFillShade="D9"/>
      <w:spacing w:after="120" w:line="240" w:lineRule="auto"/>
      <w:ind w:left="714" w:hanging="357"/>
    </w:pPr>
  </w:style>
  <w:style w:type="character" w:customStyle="1" w:styleId="QuestionParagraphChar">
    <w:name w:val="Question Paragraph Char"/>
    <w:basedOn w:val="DefaultParagraphFont"/>
    <w:link w:val="QuestionParagraph"/>
    <w:rsid w:val="00686E79"/>
    <w:rPr>
      <w:rFonts w:ascii="Arial" w:eastAsia="Arial Unicode MS" w:hAnsi="Arial" w:cs="Arial"/>
      <w:color w:val="000000"/>
      <w:shd w:val="clear" w:color="auto" w:fill="D9D9D9" w:themeFill="background1" w:themeFillShade="D9"/>
      <w:lang w:val="en-US" w:eastAsia="en-US"/>
    </w:rPr>
  </w:style>
  <w:style w:type="paragraph" w:customStyle="1" w:styleId="BulletList2Pattern">
    <w:name w:val="Bullet List 2 + Pattern"/>
    <w:basedOn w:val="BulletList2"/>
    <w:qFormat/>
    <w:rsid w:val="00686E79"/>
    <w:pPr>
      <w:shd w:val="clear" w:color="auto" w:fill="D9D9D9" w:themeFill="background1" w:themeFillShade="D9"/>
      <w:ind w:left="1077"/>
    </w:pPr>
  </w:style>
  <w:style w:type="paragraph" w:customStyle="1" w:styleId="TestimoniumContract">
    <w:name w:val="Testimonium Contract"/>
    <w:basedOn w:val="Paragraph"/>
    <w:qFormat/>
    <w:rsid w:val="00686E79"/>
  </w:style>
  <w:style w:type="paragraph" w:customStyle="1" w:styleId="TestimoniumDeed">
    <w:name w:val="Testimonium Deed"/>
    <w:basedOn w:val="Paragraph"/>
    <w:qFormat/>
    <w:rsid w:val="00686E79"/>
  </w:style>
  <w:style w:type="paragraph" w:customStyle="1" w:styleId="Titlesubclause2">
    <w:name w:val="Title subclause2"/>
    <w:basedOn w:val="Untitledsubclause2"/>
    <w:qFormat/>
    <w:rsid w:val="00686E79"/>
    <w:rPr>
      <w:b/>
    </w:rPr>
  </w:style>
  <w:style w:type="paragraph" w:customStyle="1" w:styleId="Titlesubclause3">
    <w:name w:val="Title subclause3"/>
    <w:basedOn w:val="Untitledsubclause3"/>
    <w:qFormat/>
    <w:rsid w:val="00686E79"/>
    <w:rPr>
      <w:b/>
    </w:rPr>
  </w:style>
  <w:style w:type="paragraph" w:customStyle="1" w:styleId="Titlesubclause4">
    <w:name w:val="Title subclause4"/>
    <w:basedOn w:val="Untitledsubclause4"/>
    <w:qFormat/>
    <w:rsid w:val="00686E79"/>
    <w:rPr>
      <w:b/>
    </w:rPr>
  </w:style>
  <w:style w:type="paragraph" w:customStyle="1" w:styleId="UntitledClause">
    <w:name w:val="Untitled Clause"/>
    <w:basedOn w:val="TitleClause"/>
    <w:qFormat/>
    <w:rsid w:val="00686E79"/>
    <w:pPr>
      <w:spacing w:before="120"/>
    </w:pPr>
    <w:rPr>
      <w:b w:val="0"/>
    </w:rPr>
  </w:style>
  <w:style w:type="paragraph" w:customStyle="1" w:styleId="Titlesubclause1">
    <w:name w:val="Title subclause1"/>
    <w:basedOn w:val="Untitledsubclause1"/>
    <w:qFormat/>
    <w:rsid w:val="00686E79"/>
    <w:pPr>
      <w:spacing w:before="120"/>
    </w:pPr>
    <w:rPr>
      <w:b/>
    </w:rPr>
  </w:style>
  <w:style w:type="paragraph" w:customStyle="1" w:styleId="Schedule">
    <w:name w:val="Schedule"/>
    <w:qFormat/>
    <w:rsid w:val="00686E79"/>
    <w:pPr>
      <w:numPr>
        <w:numId w:val="38"/>
      </w:numPr>
      <w:spacing w:before="240" w:after="240" w:line="240" w:lineRule="atLeast"/>
    </w:pPr>
    <w:rPr>
      <w:rFonts w:ascii="Arial" w:eastAsia="Arial Unicode MS" w:hAnsi="Arial" w:cs="Arial"/>
      <w:b/>
      <w:color w:val="000000"/>
      <w:lang w:val="en-US" w:eastAsia="en-US"/>
    </w:rPr>
  </w:style>
  <w:style w:type="character" w:customStyle="1" w:styleId="Heading1Char">
    <w:name w:val="Heading 1 Char"/>
    <w:basedOn w:val="DefaultParagraphFont"/>
    <w:link w:val="Heading1"/>
    <w:uiPriority w:val="9"/>
    <w:rsid w:val="00686E79"/>
    <w:rPr>
      <w:rFonts w:asciiTheme="majorHAnsi" w:eastAsiaTheme="majorEastAsia" w:hAnsiTheme="majorHAnsi" w:cstheme="majorBidi"/>
      <w:b/>
      <w:bCs/>
      <w:color w:val="000000"/>
      <w:sz w:val="28"/>
      <w:szCs w:val="28"/>
    </w:rPr>
  </w:style>
  <w:style w:type="character" w:customStyle="1" w:styleId="Heading2Char">
    <w:name w:val="Heading 2 Char"/>
    <w:basedOn w:val="DefaultParagraphFont"/>
    <w:link w:val="Heading2"/>
    <w:uiPriority w:val="9"/>
    <w:semiHidden/>
    <w:rsid w:val="00686E79"/>
    <w:rPr>
      <w:rFonts w:asciiTheme="majorHAnsi" w:eastAsiaTheme="majorEastAsia" w:hAnsiTheme="majorHAnsi" w:cstheme="majorBidi"/>
      <w:b/>
      <w:bCs/>
      <w:color w:val="000000"/>
      <w:sz w:val="26"/>
      <w:szCs w:val="26"/>
    </w:rPr>
  </w:style>
  <w:style w:type="character" w:customStyle="1" w:styleId="Heading3Char">
    <w:name w:val="Heading 3 Char"/>
    <w:basedOn w:val="DefaultParagraphFont"/>
    <w:link w:val="Heading3"/>
    <w:uiPriority w:val="9"/>
    <w:semiHidden/>
    <w:rsid w:val="00686E79"/>
    <w:rPr>
      <w:rFonts w:asciiTheme="majorHAnsi" w:eastAsiaTheme="majorEastAsia" w:hAnsiTheme="majorHAnsi" w:cstheme="majorBidi"/>
      <w:b/>
      <w:bCs/>
      <w:color w:val="000000"/>
    </w:rPr>
  </w:style>
  <w:style w:type="character" w:customStyle="1" w:styleId="Heading4Char">
    <w:name w:val="Heading 4 Char"/>
    <w:basedOn w:val="DefaultParagraphFont"/>
    <w:link w:val="Heading4"/>
    <w:uiPriority w:val="9"/>
    <w:semiHidden/>
    <w:rsid w:val="00686E79"/>
    <w:rPr>
      <w:rFonts w:asciiTheme="majorHAnsi" w:eastAsiaTheme="majorEastAsia" w:hAnsiTheme="majorHAnsi" w:cstheme="majorBidi"/>
      <w:b/>
      <w:bCs/>
      <w:i/>
      <w:iCs/>
      <w:color w:val="000000"/>
    </w:rPr>
  </w:style>
  <w:style w:type="character" w:customStyle="1" w:styleId="Heading5Char">
    <w:name w:val="Heading 5 Char"/>
    <w:basedOn w:val="DefaultParagraphFont"/>
    <w:link w:val="Heading5"/>
    <w:uiPriority w:val="9"/>
    <w:semiHidden/>
    <w:rsid w:val="00686E79"/>
    <w:rPr>
      <w:rFonts w:asciiTheme="majorHAnsi" w:eastAsiaTheme="majorEastAsia" w:hAnsiTheme="majorHAnsi" w:cstheme="majorBidi"/>
      <w:color w:val="000000"/>
    </w:rPr>
  </w:style>
  <w:style w:type="character" w:customStyle="1" w:styleId="Heading6Char">
    <w:name w:val="Heading 6 Char"/>
    <w:basedOn w:val="DefaultParagraphFont"/>
    <w:link w:val="Heading6"/>
    <w:uiPriority w:val="9"/>
    <w:semiHidden/>
    <w:rsid w:val="00686E79"/>
    <w:rPr>
      <w:rFonts w:asciiTheme="majorHAnsi" w:eastAsiaTheme="majorEastAsia" w:hAnsiTheme="majorHAnsi" w:cstheme="majorBidi"/>
      <w:i/>
      <w:iCs/>
      <w:color w:val="000000"/>
    </w:rPr>
  </w:style>
  <w:style w:type="character" w:customStyle="1" w:styleId="Heading7Char">
    <w:name w:val="Heading 7 Char"/>
    <w:basedOn w:val="DefaultParagraphFont"/>
    <w:link w:val="Heading7"/>
    <w:uiPriority w:val="9"/>
    <w:semiHidden/>
    <w:rsid w:val="00686E79"/>
    <w:rPr>
      <w:rFonts w:asciiTheme="majorHAnsi" w:eastAsiaTheme="majorEastAsia" w:hAnsiTheme="majorHAnsi" w:cstheme="majorBidi"/>
      <w:i/>
      <w:iCs/>
      <w:color w:val="000000"/>
    </w:rPr>
  </w:style>
  <w:style w:type="character" w:customStyle="1" w:styleId="Heading8Char">
    <w:name w:val="Heading 8 Char"/>
    <w:basedOn w:val="DefaultParagraphFont"/>
    <w:link w:val="Heading8"/>
    <w:uiPriority w:val="9"/>
    <w:semiHidden/>
    <w:rsid w:val="00686E79"/>
    <w:rPr>
      <w:rFonts w:asciiTheme="majorHAnsi" w:eastAsiaTheme="majorEastAsia" w:hAnsiTheme="majorHAnsi" w:cstheme="majorBidi"/>
      <w:color w:val="000000"/>
      <w:sz w:val="20"/>
      <w:szCs w:val="20"/>
    </w:rPr>
  </w:style>
  <w:style w:type="character" w:customStyle="1" w:styleId="Heading9Char">
    <w:name w:val="Heading 9 Char"/>
    <w:basedOn w:val="DefaultParagraphFont"/>
    <w:link w:val="Heading9"/>
    <w:uiPriority w:val="9"/>
    <w:semiHidden/>
    <w:rsid w:val="00686E79"/>
    <w:rPr>
      <w:rFonts w:asciiTheme="majorHAnsi" w:eastAsiaTheme="majorEastAsia" w:hAnsiTheme="majorHAnsi" w:cstheme="majorBidi"/>
      <w:i/>
      <w:iCs/>
      <w:color w:val="000000"/>
      <w:sz w:val="20"/>
      <w:szCs w:val="20"/>
    </w:rPr>
  </w:style>
  <w:style w:type="paragraph" w:customStyle="1" w:styleId="ScheduleTitle">
    <w:name w:val="Schedule Title"/>
    <w:basedOn w:val="Paragraph"/>
    <w:qFormat/>
    <w:rsid w:val="00686E79"/>
    <w:rPr>
      <w:b/>
    </w:rPr>
  </w:style>
  <w:style w:type="paragraph" w:customStyle="1" w:styleId="Part">
    <w:name w:val="Part"/>
    <w:basedOn w:val="Paragraph"/>
    <w:qFormat/>
    <w:rsid w:val="00686E79"/>
    <w:pPr>
      <w:numPr>
        <w:ilvl w:val="1"/>
        <w:numId w:val="38"/>
      </w:numPr>
      <w:spacing w:before="240" w:after="240"/>
      <w:jc w:val="left"/>
    </w:pPr>
    <w:rPr>
      <w:b/>
    </w:rPr>
  </w:style>
  <w:style w:type="paragraph" w:customStyle="1" w:styleId="AnnexTitle">
    <w:name w:val="Annex Title"/>
    <w:basedOn w:val="Paragraph"/>
    <w:next w:val="Paragraph"/>
    <w:qFormat/>
    <w:rsid w:val="00686E79"/>
    <w:pPr>
      <w:spacing w:before="240" w:after="240"/>
    </w:pPr>
    <w:rPr>
      <w:b/>
    </w:rPr>
  </w:style>
  <w:style w:type="paragraph" w:customStyle="1" w:styleId="PartTitle">
    <w:name w:val="Part Title"/>
    <w:basedOn w:val="Paragraph"/>
    <w:qFormat/>
    <w:rsid w:val="00686E79"/>
    <w:rPr>
      <w:b/>
    </w:rPr>
  </w:style>
  <w:style w:type="paragraph" w:customStyle="1" w:styleId="Testimonium">
    <w:name w:val="Testimonium"/>
    <w:basedOn w:val="Paragraph"/>
    <w:qFormat/>
    <w:rsid w:val="00686E79"/>
  </w:style>
  <w:style w:type="character" w:customStyle="1" w:styleId="apple-converted-space">
    <w:name w:val="apple-converted-space"/>
    <w:basedOn w:val="DefaultParagraphFont"/>
    <w:rsid w:val="00686E79"/>
    <w:rPr>
      <w:color w:val="000000"/>
    </w:rPr>
  </w:style>
  <w:style w:type="character" w:styleId="Emphasis">
    <w:name w:val="Emphasis"/>
    <w:basedOn w:val="DefaultParagraphFont"/>
    <w:uiPriority w:val="20"/>
    <w:qFormat/>
    <w:rsid w:val="00686E79"/>
    <w:rPr>
      <w:i/>
      <w:iCs/>
      <w:color w:val="000000"/>
    </w:rPr>
  </w:style>
  <w:style w:type="paragraph" w:customStyle="1" w:styleId="NoNumTitle-Clause">
    <w:name w:val="No Num Title - Clause"/>
    <w:basedOn w:val="TitleClause"/>
    <w:qFormat/>
    <w:rsid w:val="00686E79"/>
    <w:pPr>
      <w:numPr>
        <w:numId w:val="0"/>
      </w:numPr>
      <w:ind w:left="720"/>
    </w:pPr>
  </w:style>
  <w:style w:type="paragraph" w:customStyle="1" w:styleId="NoNumTitlesubclause1">
    <w:name w:val="No Num Title subclause1"/>
    <w:basedOn w:val="Titlesubclause1"/>
    <w:qFormat/>
    <w:rsid w:val="00686E79"/>
    <w:pPr>
      <w:numPr>
        <w:ilvl w:val="0"/>
        <w:numId w:val="0"/>
      </w:numPr>
      <w:ind w:left="720"/>
    </w:pPr>
  </w:style>
  <w:style w:type="paragraph" w:customStyle="1" w:styleId="AddressLine">
    <w:name w:val="Address Line"/>
    <w:basedOn w:val="Paragraph"/>
    <w:qFormat/>
    <w:rsid w:val="00686E79"/>
  </w:style>
  <w:style w:type="paragraph" w:styleId="Date">
    <w:name w:val="Date"/>
    <w:basedOn w:val="Paragraph"/>
    <w:qFormat/>
    <w:rsid w:val="00686E79"/>
  </w:style>
  <w:style w:type="paragraph" w:customStyle="1" w:styleId="SalutationPara">
    <w:name w:val="Salutation Para"/>
    <w:basedOn w:val="Paragraph"/>
    <w:next w:val="Paragraph"/>
    <w:qFormat/>
    <w:rsid w:val="00686E79"/>
    <w:pPr>
      <w:spacing w:before="240"/>
    </w:pPr>
  </w:style>
  <w:style w:type="character" w:styleId="FollowedHyperlink">
    <w:name w:val="FollowedHyperlink"/>
    <w:basedOn w:val="DefaultParagraphFont"/>
    <w:uiPriority w:val="99"/>
    <w:semiHidden/>
    <w:unhideWhenUsed/>
    <w:rsid w:val="00686E79"/>
    <w:rPr>
      <w:i/>
      <w:color w:val="000000"/>
      <w:u w:val="single"/>
    </w:rPr>
  </w:style>
  <w:style w:type="character" w:customStyle="1" w:styleId="DefTerm">
    <w:name w:val="DefTerm"/>
    <w:basedOn w:val="DefaultParagraphFont"/>
    <w:uiPriority w:val="1"/>
    <w:qFormat/>
    <w:rsid w:val="00686E79"/>
    <w:rPr>
      <w:b/>
      <w:color w:val="000000"/>
    </w:rPr>
  </w:style>
  <w:style w:type="table" w:customStyle="1" w:styleId="ShadedTable">
    <w:name w:val="Shaded Table"/>
    <w:basedOn w:val="TableNormal"/>
    <w:uiPriority w:val="99"/>
    <w:rsid w:val="00686E79"/>
    <w:pPr>
      <w:spacing w:after="0" w:line="240" w:lineRule="auto"/>
    </w:pPr>
    <w:rPr>
      <w:color w:val="000000"/>
    </w:rPr>
    <w:tblPr>
      <w:tblBorders>
        <w:top w:val="single" w:sz="4" w:space="0" w:color="auto"/>
        <w:left w:val="single" w:sz="4" w:space="0" w:color="auto"/>
        <w:bottom w:val="single" w:sz="4" w:space="0" w:color="auto"/>
        <w:right w:val="single" w:sz="4" w:space="0" w:color="auto"/>
      </w:tblBorders>
    </w:tblPr>
    <w:tcPr>
      <w:shd w:val="clear" w:color="auto" w:fill="EEECE1" w:themeFill="background2"/>
    </w:tcPr>
  </w:style>
  <w:style w:type="paragraph" w:customStyle="1" w:styleId="Letterhead">
    <w:name w:val="Letterhead"/>
    <w:basedOn w:val="Paragraph"/>
    <w:qFormat/>
    <w:rsid w:val="00686E79"/>
    <w:rPr>
      <w:i/>
    </w:rPr>
  </w:style>
  <w:style w:type="paragraph" w:customStyle="1" w:styleId="LetterTitle">
    <w:name w:val="Letter Title"/>
    <w:basedOn w:val="Paragraph"/>
    <w:qFormat/>
    <w:rsid w:val="00686E79"/>
    <w:rPr>
      <w:b/>
    </w:rPr>
  </w:style>
  <w:style w:type="paragraph" w:customStyle="1" w:styleId="LongQuestionPara">
    <w:name w:val="Long Question Para"/>
    <w:basedOn w:val="Paragraph"/>
    <w:link w:val="LongQuestionParaChar"/>
    <w:rsid w:val="00686E79"/>
    <w:pPr>
      <w:numPr>
        <w:numId w:val="15"/>
      </w:numPr>
      <w:spacing w:before="240" w:after="240" w:line="240" w:lineRule="auto"/>
      <w:outlineLvl w:val="1"/>
    </w:pPr>
    <w:rPr>
      <w:sz w:val="20"/>
      <w:lang w:val="en-US"/>
    </w:rPr>
  </w:style>
  <w:style w:type="character" w:customStyle="1" w:styleId="LongQuestionParaChar">
    <w:name w:val="Long Question Para Char"/>
    <w:basedOn w:val="DefaultParagraphFont"/>
    <w:link w:val="LongQuestionPara"/>
    <w:rsid w:val="00686E79"/>
    <w:rPr>
      <w:rFonts w:ascii="Arial" w:eastAsia="Arial Unicode MS" w:hAnsi="Arial" w:cs="Arial"/>
      <w:color w:val="000000"/>
      <w:sz w:val="20"/>
      <w:szCs w:val="20"/>
      <w:lang w:val="en-US" w:eastAsia="en-US"/>
    </w:rPr>
  </w:style>
  <w:style w:type="paragraph" w:customStyle="1" w:styleId="ShortQuestionPara">
    <w:name w:val="Short Question Para"/>
    <w:basedOn w:val="Paragraph"/>
    <w:link w:val="ShortQuestionParaChar"/>
    <w:rsid w:val="00686E79"/>
    <w:pPr>
      <w:shd w:val="clear" w:color="auto" w:fill="D9D9D9" w:themeFill="background1" w:themeFillShade="D9"/>
      <w:tabs>
        <w:tab w:val="left" w:pos="270"/>
      </w:tabs>
      <w:spacing w:after="40" w:line="240" w:lineRule="auto"/>
      <w:outlineLvl w:val="1"/>
    </w:pPr>
    <w:rPr>
      <w:bCs/>
      <w:sz w:val="20"/>
      <w:lang w:val="en-US"/>
    </w:rPr>
  </w:style>
  <w:style w:type="character" w:customStyle="1" w:styleId="ShortQuestionParaChar">
    <w:name w:val="Short Question Para Char"/>
    <w:basedOn w:val="DefaultParagraphFont"/>
    <w:link w:val="ShortQuestionPara"/>
    <w:rsid w:val="00686E79"/>
    <w:rPr>
      <w:rFonts w:ascii="Arial" w:eastAsia="Arial Unicode MS" w:hAnsi="Arial" w:cs="Arial"/>
      <w:bCs/>
      <w:color w:val="000000"/>
      <w:sz w:val="20"/>
      <w:szCs w:val="20"/>
      <w:shd w:val="clear" w:color="auto" w:fill="D9D9D9" w:themeFill="background1" w:themeFillShade="D9"/>
      <w:lang w:val="en-US" w:eastAsia="en-US"/>
    </w:rPr>
  </w:style>
  <w:style w:type="character" w:customStyle="1" w:styleId="ParagraphChar">
    <w:name w:val="Paragraph Char"/>
    <w:basedOn w:val="DefaultParagraphFont"/>
    <w:link w:val="Paragraph"/>
    <w:rsid w:val="00686E79"/>
    <w:rPr>
      <w:rFonts w:ascii="Arial" w:eastAsia="Arial Unicode MS" w:hAnsi="Arial" w:cs="Arial"/>
      <w:color w:val="000000"/>
      <w:szCs w:val="20"/>
      <w:lang w:eastAsia="en-US"/>
    </w:rPr>
  </w:style>
  <w:style w:type="paragraph" w:customStyle="1" w:styleId="811D3A974D454A258B71E3C4DE24C4F210">
    <w:name w:val="811D3A974D454A258B71E3C4DE24C4F210"/>
    <w:rsid w:val="00935827"/>
    <w:pPr>
      <w:spacing w:after="120" w:line="240" w:lineRule="auto"/>
    </w:pPr>
    <w:rPr>
      <w:rFonts w:ascii="Arial" w:eastAsia="Arial Unicode MS" w:hAnsi="Arial" w:cs="Arial"/>
      <w:color w:val="000000"/>
      <w:sz w:val="24"/>
      <w:lang w:val="en-US" w:eastAsia="en-US"/>
    </w:rPr>
  </w:style>
  <w:style w:type="paragraph" w:customStyle="1" w:styleId="ListParagraphLevel3">
    <w:name w:val="List Paragraph Level 3"/>
    <w:qFormat/>
    <w:rsid w:val="00686E79"/>
    <w:pPr>
      <w:spacing w:after="120" w:line="240" w:lineRule="auto"/>
      <w:ind w:left="2160"/>
    </w:pPr>
    <w:rPr>
      <w:rFonts w:ascii="Times New Roman" w:eastAsia="Times New Roman" w:hAnsi="Times New Roman" w:cs="Times New Roman"/>
      <w:color w:val="000000"/>
      <w:sz w:val="24"/>
      <w:szCs w:val="20"/>
      <w:lang w:eastAsia="en-US"/>
    </w:rPr>
  </w:style>
  <w:style w:type="paragraph" w:customStyle="1" w:styleId="DocumentTitle">
    <w:name w:val="Document Title"/>
    <w:basedOn w:val="Paragraph"/>
    <w:qFormat/>
    <w:rsid w:val="00686E79"/>
    <w:pPr>
      <w:jc w:val="center"/>
    </w:pPr>
    <w:rPr>
      <w:sz w:val="28"/>
    </w:rPr>
  </w:style>
  <w:style w:type="paragraph" w:customStyle="1" w:styleId="Title-Clause">
    <w:name w:val="Title - Clause"/>
    <w:aliases w:val="BIWS Heading 1"/>
    <w:basedOn w:val="Normal"/>
    <w:rsid w:val="00686E79"/>
    <w:pPr>
      <w:keepNext/>
      <w:tabs>
        <w:tab w:val="num" w:pos="720"/>
      </w:tabs>
      <w:spacing w:before="240" w:after="240" w:line="300" w:lineRule="atLeast"/>
      <w:ind w:left="720" w:hanging="720"/>
      <w:jc w:val="both"/>
      <w:outlineLvl w:val="0"/>
    </w:pPr>
    <w:rPr>
      <w:rFonts w:ascii="Arial" w:eastAsia="Arial Unicode MS" w:hAnsi="Arial" w:cs="Arial"/>
      <w:b/>
      <w:color w:val="000000"/>
      <w:kern w:val="28"/>
      <w:szCs w:val="20"/>
    </w:rPr>
  </w:style>
  <w:style w:type="paragraph" w:customStyle="1" w:styleId="Para-Clause-nonum">
    <w:name w:val="Para - Clause - no num"/>
    <w:aliases w:val="Body  clause"/>
    <w:basedOn w:val="Normal"/>
    <w:next w:val="Title-Clause"/>
    <w:rsid w:val="00686E79"/>
    <w:pPr>
      <w:spacing w:before="120" w:after="120" w:line="300" w:lineRule="atLeast"/>
      <w:ind w:left="720"/>
      <w:jc w:val="both"/>
    </w:pPr>
    <w:rPr>
      <w:rFonts w:ascii="Arial" w:eastAsia="Arial Unicode MS" w:hAnsi="Arial" w:cs="Arial"/>
      <w:color w:val="000000"/>
      <w:szCs w:val="20"/>
    </w:rPr>
  </w:style>
  <w:style w:type="paragraph" w:customStyle="1" w:styleId="Para-Clause">
    <w:name w:val="Para - Clause"/>
    <w:basedOn w:val="Title-Clause"/>
    <w:qFormat/>
    <w:rsid w:val="00686E79"/>
    <w:pPr>
      <w:spacing w:before="120"/>
    </w:pPr>
    <w:rPr>
      <w:b w:val="0"/>
    </w:rPr>
  </w:style>
  <w:style w:type="paragraph" w:customStyle="1" w:styleId="CoversheetParagraph">
    <w:name w:val="Coversheet Paragraph"/>
    <w:basedOn w:val="Normal"/>
    <w:autoRedefine/>
    <w:rsid w:val="00686E79"/>
    <w:pPr>
      <w:spacing w:after="0" w:line="300" w:lineRule="atLeast"/>
      <w:jc w:val="center"/>
    </w:pPr>
    <w:rPr>
      <w:rFonts w:ascii="Times New Roman" w:eastAsia="Times New Roman" w:hAnsi="Times New Roman" w:cs="Times New Roman"/>
      <w:color w:val="000000"/>
      <w:szCs w:val="20"/>
    </w:rPr>
  </w:style>
  <w:style w:type="paragraph" w:customStyle="1" w:styleId="CoversheetIntro">
    <w:name w:val="Coversheet Intro"/>
    <w:basedOn w:val="CoversheetTitle"/>
    <w:qFormat/>
    <w:rsid w:val="00686E79"/>
    <w:rPr>
      <w:smallCaps w:val="0"/>
      <w:sz w:val="22"/>
    </w:rPr>
  </w:style>
  <w:style w:type="paragraph" w:customStyle="1" w:styleId="CoversheetStaticText">
    <w:name w:val="Coversheet Static Text"/>
    <w:basedOn w:val="CoversheetIntro"/>
    <w:qFormat/>
    <w:rsid w:val="00686E79"/>
    <w:rPr>
      <w:b w:val="0"/>
    </w:rPr>
  </w:style>
  <w:style w:type="paragraph" w:customStyle="1" w:styleId="CoversheetParty">
    <w:name w:val="Coversheet Party"/>
    <w:basedOn w:val="CoversheetIntro"/>
    <w:qFormat/>
    <w:rsid w:val="00686E79"/>
  </w:style>
  <w:style w:type="paragraph" w:customStyle="1" w:styleId="NoNumUntitledClause">
    <w:name w:val="No Num Untitled Clause"/>
    <w:basedOn w:val="UntitledClause"/>
    <w:qFormat/>
    <w:rsid w:val="00686E79"/>
    <w:pPr>
      <w:numPr>
        <w:numId w:val="0"/>
      </w:numPr>
      <w:ind w:left="720"/>
    </w:pPr>
  </w:style>
  <w:style w:type="paragraph" w:customStyle="1" w:styleId="BackgroundSubclause1">
    <w:name w:val="Background Subclause1"/>
    <w:basedOn w:val="Background"/>
    <w:qFormat/>
    <w:rsid w:val="00686E79"/>
    <w:pPr>
      <w:numPr>
        <w:ilvl w:val="1"/>
      </w:numPr>
    </w:pPr>
  </w:style>
  <w:style w:type="paragraph" w:customStyle="1" w:styleId="BackgroundSubclause2">
    <w:name w:val="Background Subclause2"/>
    <w:basedOn w:val="Background"/>
    <w:qFormat/>
    <w:rsid w:val="00686E79"/>
    <w:pPr>
      <w:numPr>
        <w:ilvl w:val="3"/>
      </w:numPr>
    </w:pPr>
  </w:style>
  <w:style w:type="paragraph" w:customStyle="1" w:styleId="HeadingLevel2CQA">
    <w:name w:val="Heading Level 2 CQA"/>
    <w:basedOn w:val="HeadingLevel2"/>
    <w:qFormat/>
    <w:rsid w:val="00686E79"/>
  </w:style>
  <w:style w:type="paragraph" w:customStyle="1" w:styleId="ClauseBullet1">
    <w:name w:val="Clause Bullet 1"/>
    <w:basedOn w:val="ParaClause"/>
    <w:qFormat/>
    <w:rsid w:val="00686E79"/>
    <w:pPr>
      <w:numPr>
        <w:numId w:val="16"/>
      </w:numPr>
      <w:ind w:left="1077" w:hanging="357"/>
      <w:outlineLvl w:val="0"/>
    </w:pPr>
  </w:style>
  <w:style w:type="paragraph" w:customStyle="1" w:styleId="ClauseBullet2">
    <w:name w:val="Clause Bullet 2"/>
    <w:basedOn w:val="ParaClause"/>
    <w:qFormat/>
    <w:rsid w:val="00686E79"/>
    <w:pPr>
      <w:numPr>
        <w:numId w:val="17"/>
      </w:numPr>
      <w:ind w:left="1434" w:hanging="357"/>
      <w:outlineLvl w:val="1"/>
    </w:pPr>
  </w:style>
  <w:style w:type="paragraph" w:customStyle="1" w:styleId="subclause1Bullet1">
    <w:name w:val="subclause 1 Bullet 1"/>
    <w:basedOn w:val="Parasubclause1"/>
    <w:qFormat/>
    <w:rsid w:val="00686E79"/>
    <w:pPr>
      <w:numPr>
        <w:numId w:val="18"/>
      </w:numPr>
      <w:ind w:left="1077" w:hanging="357"/>
    </w:pPr>
  </w:style>
  <w:style w:type="paragraph" w:customStyle="1" w:styleId="subclause2Bullet1">
    <w:name w:val="subclause 2 Bullet 1"/>
    <w:basedOn w:val="Parasubclause2"/>
    <w:qFormat/>
    <w:rsid w:val="00686E79"/>
    <w:pPr>
      <w:numPr>
        <w:numId w:val="20"/>
      </w:numPr>
      <w:ind w:left="1434" w:hanging="357"/>
    </w:pPr>
  </w:style>
  <w:style w:type="paragraph" w:customStyle="1" w:styleId="subclause3Bullet1">
    <w:name w:val="subclause 3 Bullet 1"/>
    <w:basedOn w:val="Parasubclause3"/>
    <w:qFormat/>
    <w:rsid w:val="00686E79"/>
    <w:pPr>
      <w:numPr>
        <w:numId w:val="19"/>
      </w:numPr>
      <w:ind w:left="2273" w:hanging="357"/>
    </w:pPr>
  </w:style>
  <w:style w:type="paragraph" w:customStyle="1" w:styleId="subclause1Bullet2">
    <w:name w:val="subclause 1 Bullet 2"/>
    <w:basedOn w:val="Parasubclause1"/>
    <w:qFormat/>
    <w:rsid w:val="00686E79"/>
    <w:pPr>
      <w:numPr>
        <w:numId w:val="21"/>
      </w:numPr>
      <w:ind w:left="1434" w:hanging="357"/>
    </w:pPr>
  </w:style>
  <w:style w:type="paragraph" w:customStyle="1" w:styleId="subclause2Bullet2">
    <w:name w:val="subclause 2 Bullet 2"/>
    <w:basedOn w:val="Parasubclause2"/>
    <w:qFormat/>
    <w:rsid w:val="00686E79"/>
    <w:pPr>
      <w:numPr>
        <w:numId w:val="22"/>
      </w:numPr>
      <w:ind w:left="2273" w:hanging="357"/>
    </w:pPr>
  </w:style>
  <w:style w:type="paragraph" w:customStyle="1" w:styleId="subclause3Bullet2">
    <w:name w:val="subclause 3 Bullet 2"/>
    <w:basedOn w:val="Parasubclause3"/>
    <w:qFormat/>
    <w:rsid w:val="00686E79"/>
    <w:pPr>
      <w:numPr>
        <w:numId w:val="23"/>
      </w:numPr>
      <w:ind w:left="2982" w:hanging="357"/>
    </w:pPr>
  </w:style>
  <w:style w:type="paragraph" w:customStyle="1" w:styleId="DefinedTermBullet">
    <w:name w:val="Defined Term Bullet"/>
    <w:basedOn w:val="DefinedTermPara"/>
    <w:qFormat/>
    <w:rsid w:val="00686E79"/>
    <w:pPr>
      <w:numPr>
        <w:numId w:val="24"/>
      </w:numPr>
    </w:pPr>
  </w:style>
  <w:style w:type="paragraph" w:customStyle="1" w:styleId="DefinedTermNumber">
    <w:name w:val="Defined Term Number"/>
    <w:basedOn w:val="DefinedTermPara"/>
    <w:qFormat/>
    <w:rsid w:val="00686E79"/>
    <w:pPr>
      <w:numPr>
        <w:ilvl w:val="1"/>
      </w:numPr>
    </w:pPr>
  </w:style>
  <w:style w:type="paragraph" w:customStyle="1" w:styleId="AdditionalTitle">
    <w:name w:val="Additional Title"/>
    <w:basedOn w:val="Paragraph"/>
    <w:qFormat/>
    <w:rsid w:val="00686E79"/>
    <w:pPr>
      <w:jc w:val="left"/>
    </w:pPr>
    <w:rPr>
      <w:b/>
    </w:rPr>
  </w:style>
  <w:style w:type="character" w:customStyle="1" w:styleId="error">
    <w:name w:val="error"/>
    <w:basedOn w:val="DefaultParagraphFont"/>
    <w:rsid w:val="00686E79"/>
    <w:rPr>
      <w:color w:val="000000"/>
    </w:rPr>
  </w:style>
  <w:style w:type="paragraph" w:customStyle="1" w:styleId="NoNumUntitledsubclause1">
    <w:name w:val="No Num Untitled subclause 1"/>
    <w:basedOn w:val="Untitledsubclause1"/>
    <w:qFormat/>
    <w:rsid w:val="00686E79"/>
    <w:pPr>
      <w:numPr>
        <w:ilvl w:val="0"/>
        <w:numId w:val="0"/>
      </w:numPr>
      <w:ind w:left="720"/>
    </w:pPr>
  </w:style>
  <w:style w:type="paragraph" w:customStyle="1" w:styleId="BackgroundParaClause">
    <w:name w:val="Background Para Clause"/>
    <w:basedOn w:val="Background"/>
    <w:qFormat/>
    <w:rsid w:val="00686E79"/>
    <w:pPr>
      <w:numPr>
        <w:numId w:val="0"/>
      </w:numPr>
    </w:pPr>
  </w:style>
  <w:style w:type="paragraph" w:customStyle="1" w:styleId="BackgroundParaSubclause1">
    <w:name w:val="Background Para Subclause1"/>
    <w:basedOn w:val="BackgroundSubclause1"/>
    <w:qFormat/>
    <w:rsid w:val="00686E79"/>
    <w:pPr>
      <w:numPr>
        <w:ilvl w:val="0"/>
        <w:numId w:val="0"/>
      </w:numPr>
      <w:ind w:left="994"/>
    </w:pPr>
    <w:rPr>
      <w:lang w:val="en-US"/>
    </w:rPr>
  </w:style>
  <w:style w:type="paragraph" w:customStyle="1" w:styleId="BackgroundParaSubclause2">
    <w:name w:val="Background Para Subclause2"/>
    <w:basedOn w:val="BackgroundSubclause2"/>
    <w:qFormat/>
    <w:rsid w:val="00686E79"/>
    <w:pPr>
      <w:numPr>
        <w:ilvl w:val="0"/>
        <w:numId w:val="0"/>
      </w:numPr>
      <w:ind w:left="1701"/>
    </w:pPr>
    <w:rPr>
      <w:lang w:val="en-US"/>
    </w:rPr>
  </w:style>
  <w:style w:type="paragraph" w:customStyle="1" w:styleId="ClauseBulletPara">
    <w:name w:val="Clause Bullet Para"/>
    <w:basedOn w:val="ClauseBullet1"/>
    <w:qFormat/>
    <w:rsid w:val="00686E79"/>
    <w:pPr>
      <w:numPr>
        <w:numId w:val="0"/>
      </w:numPr>
      <w:ind w:left="1080"/>
    </w:pPr>
    <w:rPr>
      <w:lang w:val="en-US"/>
    </w:rPr>
  </w:style>
  <w:style w:type="paragraph" w:customStyle="1" w:styleId="ClauseBullet2Para">
    <w:name w:val="Clause Bullet 2 Para"/>
    <w:basedOn w:val="ClauseBullet2"/>
    <w:qFormat/>
    <w:rsid w:val="00686E79"/>
    <w:pPr>
      <w:numPr>
        <w:numId w:val="0"/>
      </w:numPr>
      <w:ind w:left="1440"/>
    </w:pPr>
    <w:rPr>
      <w:lang w:val="en-US"/>
    </w:rPr>
  </w:style>
  <w:style w:type="paragraph" w:customStyle="1" w:styleId="ACTJurisdictionCheckList">
    <w:name w:val="ACTJurisdictionCheckList"/>
    <w:basedOn w:val="Normal"/>
    <w:rsid w:val="00686E79"/>
    <w:pPr>
      <w:spacing w:after="120" w:line="300" w:lineRule="atLeast"/>
    </w:pPr>
    <w:rPr>
      <w:rFonts w:ascii="Arial" w:eastAsia="Arial Unicode MS" w:hAnsi="Arial" w:cs="Arial"/>
      <w:b/>
      <w:color w:val="000000"/>
      <w:sz w:val="28"/>
    </w:rPr>
  </w:style>
  <w:style w:type="paragraph" w:customStyle="1" w:styleId="JurisdictionDraftingnoteTitle">
    <w:name w:val="Jurisdiction Draftingnote Title"/>
    <w:basedOn w:val="DraftingnoteTitle"/>
    <w:qFormat/>
    <w:rsid w:val="00686E79"/>
  </w:style>
  <w:style w:type="paragraph" w:customStyle="1" w:styleId="ScheduleTitleClause">
    <w:name w:val="Schedule Title Clause"/>
    <w:basedOn w:val="Normal"/>
    <w:rsid w:val="00686E79"/>
    <w:pPr>
      <w:keepNext/>
      <w:numPr>
        <w:ilvl w:val="2"/>
        <w:numId w:val="38"/>
      </w:numPr>
      <w:spacing w:before="240" w:after="240" w:line="300" w:lineRule="atLeast"/>
      <w:jc w:val="both"/>
      <w:outlineLvl w:val="0"/>
    </w:pPr>
    <w:rPr>
      <w:rFonts w:ascii="Arial" w:eastAsia="Arial Unicode MS" w:hAnsi="Arial" w:cs="Arial"/>
      <w:b/>
      <w:color w:val="000000"/>
      <w:kern w:val="28"/>
      <w:szCs w:val="20"/>
    </w:rPr>
  </w:style>
  <w:style w:type="paragraph" w:customStyle="1" w:styleId="ScheduleUntitledsubclause1">
    <w:name w:val="Schedule Untitled subclause 1"/>
    <w:basedOn w:val="Normal"/>
    <w:rsid w:val="00686E79"/>
    <w:pPr>
      <w:numPr>
        <w:ilvl w:val="3"/>
        <w:numId w:val="38"/>
      </w:numPr>
      <w:spacing w:before="280" w:after="120" w:line="300" w:lineRule="atLeast"/>
      <w:jc w:val="both"/>
      <w:outlineLvl w:val="1"/>
    </w:pPr>
    <w:rPr>
      <w:rFonts w:ascii="Arial" w:eastAsia="Arial Unicode MS" w:hAnsi="Arial" w:cs="Arial"/>
      <w:color w:val="000000"/>
      <w:szCs w:val="20"/>
    </w:rPr>
  </w:style>
  <w:style w:type="paragraph" w:customStyle="1" w:styleId="ScheduleUntitledsubclause2">
    <w:name w:val="Schedule Untitled subclause 2"/>
    <w:basedOn w:val="Normal"/>
    <w:rsid w:val="00686E79"/>
    <w:pPr>
      <w:numPr>
        <w:ilvl w:val="4"/>
        <w:numId w:val="38"/>
      </w:numPr>
      <w:spacing w:after="120" w:line="300" w:lineRule="atLeast"/>
      <w:jc w:val="both"/>
      <w:outlineLvl w:val="2"/>
    </w:pPr>
    <w:rPr>
      <w:rFonts w:ascii="Arial" w:eastAsia="Arial Unicode MS" w:hAnsi="Arial" w:cs="Arial"/>
      <w:color w:val="000000"/>
      <w:szCs w:val="20"/>
    </w:rPr>
  </w:style>
  <w:style w:type="paragraph" w:customStyle="1" w:styleId="ScheduleUntitledsubclause3">
    <w:name w:val="Schedule Untitled subclause 3"/>
    <w:basedOn w:val="Normal"/>
    <w:rsid w:val="00686E79"/>
    <w:pPr>
      <w:numPr>
        <w:ilvl w:val="5"/>
        <w:numId w:val="38"/>
      </w:numPr>
      <w:tabs>
        <w:tab w:val="left" w:pos="2261"/>
      </w:tabs>
      <w:spacing w:after="120" w:line="300" w:lineRule="atLeast"/>
      <w:jc w:val="both"/>
      <w:outlineLvl w:val="3"/>
    </w:pPr>
    <w:rPr>
      <w:rFonts w:ascii="Arial" w:eastAsia="Arial Unicode MS" w:hAnsi="Arial" w:cs="Arial"/>
      <w:color w:val="000000"/>
      <w:szCs w:val="20"/>
    </w:rPr>
  </w:style>
  <w:style w:type="paragraph" w:customStyle="1" w:styleId="ScheduleUntitledsubclause4">
    <w:name w:val="Schedule Untitled subclause 4"/>
    <w:basedOn w:val="Normal"/>
    <w:rsid w:val="00686E79"/>
    <w:pPr>
      <w:spacing w:after="120" w:line="300" w:lineRule="atLeast"/>
      <w:jc w:val="both"/>
      <w:outlineLvl w:val="4"/>
    </w:pPr>
    <w:rPr>
      <w:rFonts w:ascii="Arial" w:eastAsia="Arial Unicode MS" w:hAnsi="Arial" w:cs="Arial"/>
      <w:color w:val="000000"/>
      <w:szCs w:val="20"/>
    </w:rPr>
  </w:style>
  <w:style w:type="paragraph" w:customStyle="1" w:styleId="BulletListPattern1">
    <w:name w:val="Bullet List Pattern 1"/>
    <w:basedOn w:val="BulletList1"/>
    <w:qFormat/>
    <w:rsid w:val="00686E79"/>
    <w:pPr>
      <w:shd w:val="clear" w:color="auto" w:fill="D9D9D9" w:themeFill="background1" w:themeFillShade="D9"/>
      <w:spacing w:after="120" w:line="240" w:lineRule="auto"/>
      <w:ind w:left="714" w:hanging="357"/>
    </w:pPr>
  </w:style>
  <w:style w:type="paragraph" w:customStyle="1" w:styleId="BulletListPattern2">
    <w:name w:val="Bullet List Pattern 2"/>
    <w:basedOn w:val="BulletList2"/>
    <w:qFormat/>
    <w:rsid w:val="00686E79"/>
    <w:pPr>
      <w:shd w:val="clear" w:color="auto" w:fill="D9D9D9" w:themeFill="background1" w:themeFillShade="D9"/>
      <w:ind w:left="1077"/>
    </w:pPr>
  </w:style>
  <w:style w:type="paragraph" w:customStyle="1" w:styleId="ScheduleUntitledClause">
    <w:name w:val="Schedule Untitled Clause"/>
    <w:basedOn w:val="ScheduleTitleClause"/>
    <w:qFormat/>
    <w:rsid w:val="00686E79"/>
    <w:pPr>
      <w:spacing w:before="120"/>
    </w:pPr>
    <w:rPr>
      <w:b w:val="0"/>
    </w:rPr>
  </w:style>
  <w:style w:type="paragraph" w:customStyle="1" w:styleId="EmptyClausePara">
    <w:name w:val="Empty Clause Para"/>
    <w:basedOn w:val="IgnoredSpacing"/>
    <w:qFormat/>
    <w:rsid w:val="00686E79"/>
  </w:style>
  <w:style w:type="paragraph" w:styleId="ListParagraph">
    <w:name w:val="List Paragraph"/>
    <w:basedOn w:val="Normal"/>
    <w:uiPriority w:val="34"/>
    <w:qFormat/>
    <w:rsid w:val="00686E79"/>
    <w:pPr>
      <w:ind w:left="720"/>
      <w:contextualSpacing/>
    </w:pPr>
    <w:rPr>
      <w:color w:val="000000"/>
    </w:rPr>
  </w:style>
  <w:style w:type="paragraph" w:customStyle="1" w:styleId="ScheduleTitlesubclause1">
    <w:name w:val="Schedule Title subclause1"/>
    <w:basedOn w:val="ScheduleUntitledsubclause1"/>
    <w:qFormat/>
    <w:rsid w:val="00686E79"/>
    <w:pPr>
      <w:spacing w:before="120"/>
    </w:pPr>
    <w:rPr>
      <w:b/>
    </w:rPr>
  </w:style>
  <w:style w:type="paragraph" w:customStyle="1" w:styleId="835FF0B0D5344FE4A8EE41F54AA7E17C16">
    <w:name w:val="835FF0B0D5344FE4A8EE41F54AA7E17C16"/>
    <w:rsid w:val="009B7627"/>
    <w:pPr>
      <w:spacing w:after="120" w:line="240" w:lineRule="auto"/>
    </w:pPr>
    <w:rPr>
      <w:rFonts w:ascii="Arial" w:eastAsia="Times New Roman" w:hAnsi="Arial" w:cs="Times New Roman"/>
      <w:color w:val="000000"/>
      <w:sz w:val="24"/>
      <w:szCs w:val="24"/>
      <w:lang w:val="en-US" w:eastAsia="en-US"/>
    </w:rPr>
  </w:style>
  <w:style w:type="paragraph" w:customStyle="1" w:styleId="SectorSpecificNoteTitle">
    <w:name w:val="Sector Specific Note Title"/>
    <w:basedOn w:val="JurisdictionDraftingnoteTitle"/>
    <w:qFormat/>
    <w:rsid w:val="00686E79"/>
  </w:style>
  <w:style w:type="table" w:customStyle="1" w:styleId="ShadedTable1">
    <w:name w:val="Shaded Table1"/>
    <w:basedOn w:val="TableNormal"/>
    <w:uiPriority w:val="99"/>
    <w:rsid w:val="00686E79"/>
    <w:pPr>
      <w:spacing w:after="0" w:line="240" w:lineRule="auto"/>
    </w:pPr>
    <w:rPr>
      <w:color w:val="000000"/>
    </w:rPr>
    <w:tblPr>
      <w:tblBorders>
        <w:top w:val="single" w:sz="4" w:space="0" w:color="auto"/>
        <w:left w:val="single" w:sz="4" w:space="0" w:color="auto"/>
        <w:bottom w:val="single" w:sz="4" w:space="0" w:color="auto"/>
        <w:right w:val="single" w:sz="4" w:space="0" w:color="auto"/>
      </w:tblBorders>
    </w:tblPr>
    <w:tcPr>
      <w:shd w:val="clear" w:color="auto" w:fill="EEECE1" w:themeFill="background2"/>
    </w:tcPr>
  </w:style>
  <w:style w:type="character" w:customStyle="1" w:styleId="UnresolvedMention1">
    <w:name w:val="Unresolved Mention1"/>
    <w:basedOn w:val="DefaultParagraphFont"/>
    <w:uiPriority w:val="99"/>
    <w:semiHidden/>
    <w:unhideWhenUsed/>
    <w:rsid w:val="005F0714"/>
    <w:rPr>
      <w:color w:val="000000"/>
      <w:shd w:val="clear" w:color="auto" w:fill="E6E6E6"/>
    </w:rPr>
  </w:style>
  <w:style w:type="paragraph" w:customStyle="1" w:styleId="IgnoredEmptysubclause">
    <w:name w:val="Ignored Empty subclause"/>
    <w:basedOn w:val="Normal"/>
    <w:link w:val="IgnoredEmptysubclauseChar"/>
    <w:qFormat/>
    <w:rsid w:val="00686E79"/>
    <w:rPr>
      <w:color w:val="000000"/>
    </w:rPr>
  </w:style>
  <w:style w:type="character" w:customStyle="1" w:styleId="IgnoredEmptysubclauseChar">
    <w:name w:val="Ignored Empty subclause Char"/>
    <w:basedOn w:val="DefaultParagraphFont"/>
    <w:link w:val="IgnoredEmptysubclause"/>
    <w:rsid w:val="00686E79"/>
    <w:rPr>
      <w:color w:val="000000"/>
    </w:rPr>
  </w:style>
  <w:style w:type="paragraph" w:customStyle="1" w:styleId="6B1115FCC3DC4C6AB2CF846F0C50B663">
    <w:name w:val="6B1115FCC3DC4C6AB2CF846F0C50B663"/>
    <w:rsid w:val="007D2563"/>
    <w:pPr>
      <w:spacing w:line="276" w:lineRule="auto"/>
    </w:pPr>
    <w:rPr>
      <w:color w:val="000000"/>
    </w:rPr>
  </w:style>
  <w:style w:type="paragraph" w:styleId="HTMLPreformatted">
    <w:name w:val="HTML Preformatted"/>
    <w:basedOn w:val="Normal"/>
    <w:link w:val="HTMLPreformattedChar"/>
    <w:uiPriority w:val="99"/>
    <w:semiHidden/>
    <w:unhideWhenUsed/>
    <w:rsid w:val="00506860"/>
    <w:pPr>
      <w:spacing w:after="0" w:line="240" w:lineRule="auto"/>
    </w:pPr>
    <w:rPr>
      <w:rFonts w:ascii="Consolas" w:hAnsi="Consolas"/>
      <w:color w:val="000000"/>
      <w:sz w:val="20"/>
      <w:szCs w:val="20"/>
    </w:rPr>
  </w:style>
  <w:style w:type="character" w:customStyle="1" w:styleId="HTMLPreformattedChar">
    <w:name w:val="HTML Preformatted Char"/>
    <w:basedOn w:val="DefaultParagraphFont"/>
    <w:link w:val="HTMLPreformatted"/>
    <w:uiPriority w:val="99"/>
    <w:semiHidden/>
    <w:rsid w:val="00506860"/>
    <w:rPr>
      <w:rFonts w:ascii="Consolas" w:hAnsi="Consolas"/>
      <w:color w:val="000000"/>
      <w:sz w:val="20"/>
      <w:szCs w:val="20"/>
    </w:rPr>
  </w:style>
  <w:style w:type="character" w:styleId="CommentReference">
    <w:name w:val="annotation reference"/>
    <w:basedOn w:val="DefaultParagraphFont"/>
    <w:uiPriority w:val="99"/>
    <w:semiHidden/>
    <w:unhideWhenUsed/>
    <w:rsid w:val="00AB5BB7"/>
    <w:rPr>
      <w:color w:val="000000"/>
      <w:sz w:val="16"/>
      <w:szCs w:val="16"/>
    </w:rPr>
  </w:style>
  <w:style w:type="paragraph" w:styleId="CommentText">
    <w:name w:val="annotation text"/>
    <w:basedOn w:val="Normal"/>
    <w:link w:val="CommentTextChar"/>
    <w:uiPriority w:val="99"/>
    <w:unhideWhenUsed/>
    <w:rsid w:val="00AB5BB7"/>
    <w:pPr>
      <w:spacing w:line="240" w:lineRule="auto"/>
    </w:pPr>
    <w:rPr>
      <w:color w:val="000000"/>
      <w:sz w:val="20"/>
      <w:szCs w:val="20"/>
    </w:rPr>
  </w:style>
  <w:style w:type="character" w:customStyle="1" w:styleId="CommentTextChar">
    <w:name w:val="Comment Text Char"/>
    <w:basedOn w:val="DefaultParagraphFont"/>
    <w:link w:val="CommentText"/>
    <w:uiPriority w:val="99"/>
    <w:rsid w:val="00AB5BB7"/>
    <w:rPr>
      <w:color w:val="000000"/>
      <w:sz w:val="20"/>
      <w:szCs w:val="20"/>
    </w:rPr>
  </w:style>
  <w:style w:type="paragraph" w:styleId="CommentSubject">
    <w:name w:val="annotation subject"/>
    <w:basedOn w:val="CommentText"/>
    <w:next w:val="CommentText"/>
    <w:link w:val="CommentSubjectChar"/>
    <w:uiPriority w:val="99"/>
    <w:semiHidden/>
    <w:unhideWhenUsed/>
    <w:rsid w:val="00AB5BB7"/>
    <w:rPr>
      <w:b/>
      <w:bCs/>
    </w:rPr>
  </w:style>
  <w:style w:type="character" w:customStyle="1" w:styleId="CommentSubjectChar">
    <w:name w:val="Comment Subject Char"/>
    <w:basedOn w:val="CommentTextChar"/>
    <w:link w:val="CommentSubject"/>
    <w:uiPriority w:val="99"/>
    <w:semiHidden/>
    <w:rsid w:val="00AB5BB7"/>
    <w:rPr>
      <w:b/>
      <w:bCs/>
      <w:color w:val="000000"/>
      <w:sz w:val="20"/>
      <w:szCs w:val="20"/>
    </w:rPr>
  </w:style>
  <w:style w:type="paragraph" w:styleId="Revision">
    <w:name w:val="Revision"/>
    <w:hidden/>
    <w:uiPriority w:val="99"/>
    <w:semiHidden/>
    <w:rsid w:val="004820FE"/>
    <w:pPr>
      <w:spacing w:after="0" w:line="240" w:lineRule="auto"/>
    </w:pPr>
    <w:rPr>
      <w:color w:val="000000"/>
    </w:rPr>
  </w:style>
  <w:style w:type="paragraph" w:styleId="TOC1">
    <w:name w:val="toc 1"/>
    <w:basedOn w:val="Normal"/>
    <w:next w:val="Normal"/>
    <w:autoRedefine/>
    <w:rsid w:val="00805BCE"/>
    <w:pPr>
      <w:spacing w:after="10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yperlink" Target="mailto:info@connecttrading.co.uk"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ns30:Sources xmlns:w="http://schemas.openxmlformats.org/wordprocessingml/2006/main" xmlns:r="http://schemas.openxmlformats.org/officeDocument/2006/relationships" xmlns:m="http://schemas.openxmlformats.org/officeDocument/2006/math" xmlns:ns4="http://schemas.openxmlformats.org/schemaLibrary/2006/main" xmlns:w15="http://schemas.microsoft.com/office/word/2012/wordml" xmlns:w14="http://schemas.microsoft.com/office/word/2010/wordml" xmlns:mc="http://schemas.openxmlformats.org/markup-compatibility/2006" xmlns:wp="http://schemas.openxmlformats.org/drawingml/2006/wordprocessingDrawing" xmlns:a="http://schemas.openxmlformats.org/drawingml/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xml><?xml version="1.0" encoding="utf-8"?>
<tns:customPropertyEditors xmlns:tns="http://schemas.microsoft.com/office/2006/customDocumentInformationPanel">
  <tns:showOnOpen>false</tns:showOnOpen>
  <tns:defaultPropertyEditorNamespace>Standard properties</tns:defaultPropertyEditorNamespace>
</tns:customPropertyEditors>
</file>

<file path=customXml/item3.xml><?xml version="1.0" encoding="utf-8"?>
<n-document xmlns:xsd="http://www.w3.org/2001/XMLSchema" xmlns:xsi="http://www.w3.org/2001/XMLSchema-instance" guid="0" synced="true" validated="true">
  <n-docbody>
    <standard.doc precedenttype="agreement">
      <prelim>
        <product.name>product.name0</product.name>
        <title>Business and consumer goods, services and digital content terms and conditions (all channels)</title>
        <author>
          <link href="http://uk.practicallaw.com/about/our-team/uk-commercial" style="ACTLinkURL">
            <ital>Practical Law Commercial</ital>
          </link>
          , with thanks to Judy Baker, partner, Ward Hadaway
        </author>
        <resource.type>Standard documents</resource.type>
        <juris>juris0</juris>
        <juris>juris1</juris>
      </prelim>
      <abstract>
        <para>
          <paratext>Terms and conditions for the supply of goods, services and digital content to both businesses and consumers. These terms can be used for contracts concluded online, by telephone or mail order, on-premises (in-store) or off-premises (on the doorstep).</paratext>
        </para>
      </abstract>
      <toc.identifier hasToc="false"/>
      <body>
        <operative xrefname="clause">
          <drafting.note id="a144092" jurisdiction="">
            <head align="left" preservecase="true">
              <headtext>About this document</headtext>
            </head>
            <division id="a000001" level="1">
              <division id="a539301" level="2">
                <head align="left" preservecase="true">
                  <headtext>Drafting assumptions</headtext>
                </head>
                <para>
                  <paratext>These standard terms are drafted on the following assumptions:</paratext>
                </para>
                <list type="bulleted">
                  <list.item>
                    <para>
                      <paratext>
                        <bold>Trader. </bold>
                        The trader is a private company established, or sole trader or sole practitioner or partnership based, in the UK. For a discussion of when a person will be treated as a trader under consumer protection law, see 
                        <link anchor="a179205" href="w-022-4729" style="ACTLinkPLCtoPLC">
                          <ital>Practice note, Consumer contracts: is it a consumer contract? Person acting as a trader?</ital>
                        </link>
                        .
                      </paratext>
                    </para>
                  </list.item>
                  <list.item>
                    <para>
                      <paratext>
                        <bold>Business and consumer customers.</bold>
                         The consumer is either a business based in the UK or an individual habitually resident in the UK. For a discussion of when an individual is contracting as a consumer, see 
                        <link anchor="a204192" href="w-022-4729" style="ACTLinkPLCtoPLC">
                          <ital>Practice note, Consumer contracts: is it a consumer contract?: Individual acting as a consumer</ital>
                        </link>
                        . Terms for use where the customers are all consumers are listed in 
                        <link anchor="a180527" href="7-525-0330" style="ACTLinkPLCtoPLC">
                          <ital>Consumer law toolkit: Consumer terms and conditions</ital>
                        </link>
                        .
                      </paratext>
                    </para>
                  </list.item>
                  <list.item>
                    <para>
                      <paratext>
                        <bold>English law. </bold>
                        These standard terms are subject to English law and jurisdiction. Despite this, if these terms are being used in another jurisdiction, traders may be subject to consumer claims and regulatory action in that jurisdiction for breach of local laws. Local legal advice should be sought before using these terms outside the UK.
                      </paratext>
                    </para>
                  </list.item>
                  <list.item>
                    <para>
                      <paratext>
                        <bold>Goods, services and digital content.</bold>
                         These terms are for use where the trader is offering goods, services and digital content. For a list of the full suite of consumer terms, for use where just goods, just services, just digital content or just two of these are provided, see 
                        <link anchor="a180527" href="7-525-0330" style="ACTLinkPLCtoPLC">
                          <ital>Consumer law toolkit: Consumer terms and conditions</ital>
                        </link>
                        .
                      </paratext>
                    </para>
                  </list.item>
                  <list.item>
                    <para>
                      <paratext>
                        <bold>Distance, off-premises and in-store contracts. </bold>
                        Consumers have different rights to pre-contract information and to cancel their contracts depending on whether they purchase in-store, at a distance (for example, online, by mail order or by telephone) or off-premises (for example, on their doorsteps). These terms provide drafting options for all these methods of sale.
                      </paratext>
                    </para>
                  </list.item>
                </list>
              </division>
              <division id="a721689" level="2">
                <head align="left" preservecase="true">
                  <headtext>Combining B2B and consumer terms and conditions</headtext>
                </head>
                <para>
                  <paratext>A trader's dealings with consumers are much more strictly controlled than their dealings with business customers. Consumers have more rights in relation to cancellation, delivery and remedies for defective products. In addition, many standard business to business provisions in relation to issues such as entire agreement, variation, assignment and set-off may be unfair and unenforceable in a consumer contract. Traders whose customers include businesses and consumers must choose between two options:</paratext>
                </para>
                <list type="bulleted">
                  <list.item>
                    <para>
                      <paratext>Giving the more generous consumer protection to all customers.</paratext>
                    </para>
                  </list.item>
                  <list.item>
                    <para>
                      <paratext>Applying different terms and conditions to consumer and business customers.</paratext>
                    </para>
                  </list.item>
                </list>
                <para>
                  <paratext>If different terms are required these could be contained in a single document or set out in two different documents. In either case the customer will have to decide whether it is a consumer or a business, so that it can read the applicable sections or select the appropriate document. The key considerations in deciding between the two approaches are set out below.</paratext>
                </para>
              </division>
              <division id="a502152" level="2">
                <head align="left" preservecase="true">
                  <headtext>Combined consumer and business terms in a single document</headtext>
                </head>
                <para>
                  <paratext>Documents which combine consumer and business terms (like this one) expressly state that certain provisions apply only to consumers and others apply only to businesses. A combined document is most suitable when the trader anticipates having mainly consumer customers because:</paratext>
                </para>
                <list type="bulleted">
                  <list.item>
                    <para>
                      <paratext>
                        <bold>Length and complexity</bold>
                        . Having lots of alternating consumer and trader provisions will make the terms harder to understand, which may compromise their enforceability. The trader will want to minimise the differences in the treatment of consumers and businesses to keep the document short and easy to read. However, this approach reduces the trader's protections in its dealings with business customers.
                      </paratext>
                    </para>
                  </list.item>
                  <list.item>
                    <para>
                      <paratext>
                        <bold>Consumer look and feel</bold>
                        . The provisions which apply to both consumers and traders will need to be drafted in a consumer-appropriate way (see 
                        <internal.reference refid="a615835">Drafting note, Drafting tips</internal.reference>
                        ). As a result, the document will have a consumer-oriented look and feel. The trader may prefer to have a more formal agreement for use with its business customers.
                      </paratext>
                    </para>
                  </list.item>
                </list>
              </division>
              <division id="a355264" level="2">
                <head align="left" preservecase="true">
                  <headtext>Separate terms for business customers and consumer customers</headtext>
                </head>
                <para>
                  <paratext>If this approach is adopted the trader presents a choice of two different sets of terms and conditions; one is just for business customers and the other just for consumers. This would allow the trader to take the most favourable position in respect of a business customer. In an online context it is relatively straightforward to offer two links to two separate documents. This may be the best approach where a significant number of customers are businesses.</paratext>
                </para>
                <para>
                  <paratext>
                    Terms for use where the customers are all consumers are listed in 
                    <link anchor="a180527" href="7-525-0330" style="ACTLinkPLCtoPLC">
                      <ital>Consumer law toolkit: Consumer terms and conditions</ital>
                    </link>
                    .
                  </paratext>
                </para>
                <para>
                  <paratext>
                    Terms for use where the customers are all businesses are listed in 
                    <link href="5-611-8350" style="ACTLinkPLCtoPLC">
                      <ital>Toolkit, Supply of goods and services toolkit</ital>
                    </link>
                    .
                  </paratext>
                </para>
              </division>
              <division id="a440889" level="2">
                <head align="left" preservecase="true">
                  <headtext>Consumer legislation and guidance</headtext>
                </head>
                <para>
                  <paratext>
                    There is extensive legislation (described in more detail in 
                    <link href="4-618-1945" style="ACTLinkPLCtoPLC">
                      <ital>Practice note, Consumer law: introduction to key legislation</ital>
                    </link>
                    ) which:
                  </paratext>
                </para>
                <list type="bulleted">
                  <list.item>
                    <para>
                      <paratext>Implies terms into contracts with consumers, giving consumers rights and remedies in respect of their purchases of goods, services and digital content.</paratext>
                    </para>
                  </list.item>
                  <list.item>
                    <para>
                      <paratext>Requires that consumers are given certain minimum information before a contract is formed, with much of this information automatically becoming a contract term.</paratext>
                    </para>
                  </list.item>
                  <list.item>
                    <para>
                      <paratext>Gives consumers entering distance contracts (for example, online, telephone or mail order) and off-premises contracts (for example, on the doorstep), for most goods, services and digital content, a cooling-off period, in which they can cancel penalty-free.</paratext>
                    </para>
                  </list.item>
                  <list.item>
                    <para>
                      <paratext>Requires that any terms used in a consumer contract must be fair, as well as transparent. Terms are most likely to be unfair if they alter the balance of rights and obligations which the law would have struck if left to itself. Terms are transparent if they clearly explain what will happen if the consumer proceeds, are easy to understand and are legible.</paratext>
                    </para>
                  </list.item>
                  <list.item>
                    <para>
                      <paratext>Prohibits misleading and aggressive sales practices by the trader generally, both in advertising and marketing and in the terms themselves.</paratext>
                    </para>
                  </list.item>
                </list>
                <para>
                  <paratext>Generally, the trader cannot contract out of its obligations under consumer law or exclude or limit its liability for their breach (some limitation is possible in respect of the supply of services). Terms which attempt to do so will be unenforceable and their use may in itself be a breach of consumer protection law.</paratext>
                </para>
              </division>
              <division id="a596152" level="2">
                <head align="left" preservecase="true">
                  <headtext>List of principal legislation and guidance and abbreviations used in the drafting notes</headtext>
                </head>
                <para>
                  <paratext>This practice note uses the following abbreviations for consumer legislation and guidance:</paratext>
                </para>
                <division id="a771321" level="3">
                  <head align="left" preservecase="true">
                    <headtext>Legislation:</headtext>
                  </head>
                  <list type="bulleted">
                    <list.item>
                      <para>
                        <paratext>
                          <bold>CRA</bold>
                          : 
                          <link href="0-606-7466" style="ACTLinkPLCtoPLC">
                            <ital>Consumer Rights Act 2015</ital>
                          </link>
                          . The CRA partially implemented the 
                          <link href="8-509-1232" style="ACTLinkPLCtoPLC">
                            <ital>Sales and Guarantees Directive (1999/44/EC)</ital>
                          </link>
                           and the 
                          <link href="3-508-2471" style="ACTLinkPLCtoPLC">
                            <ital>Unfair Contract Terms Directive (93/13/EEC)</ital>
                          </link>
                          .
                        </paratext>
                      </para>
                    </list.item>
                    <list.item>
                      <para>
                        <paratext>
                          <bold>CCRs</bold>
                          : 
                          <link href="9-553-8326" style="ACTLinkPLCtoPLC">
                            <ital>Consumer Contracts (Information, Cancellation and Additional Charges) Regulations 2013 (SI 2013/3134)</ital>
                          </link>
                          . The CCRs implemented the 
                          <link href="3-517-8770" style="ACTLinkPLCtoPLC">
                            <ital>Consumer Rights Directive (2011/83/EU)</ital>
                          </link>
                          .
                        </paratext>
                      </para>
                    </list.item>
                    <list.item>
                      <para>
                        <paratext>
                          <bold>CPUT</bold>
                          : 
                          <link href="7-508-2539" style="ACTLinkPLCtoPLC">
                            <ital>Consumer Protection from Unfair Trading Regulations 2008 (SI 2008/1277)</ital>
                          </link>
                          . Please note that these regulations are referred to as the CPRs in CMA and BIS (a predecessor to BEIS) guidance. Practical Law uses the acronym CPUT because CPRs is used elsewhere in its dispute-related materials to refer to the Civil Procedure Rules. CPUT implemented the 
                          <link href="2-508-3621" style="ACTLinkPLCtoPLC">
                            <ital>Unfair Commercial Practices Directive (2005/29/EC)</ital>
                          </link>
                          .
                        </paratext>
                      </para>
                    </list.item>
                    <list.item>
                      <para>
                        <paratext>
                          <bold>E-Commerce Regulations</bold>
                          : 
                          <link href="1-508-2467" style="ACTLinkPLCtoPLC">
                            <ital>Electronic Commerce (EC Directive) Regulations 2002 (SI 2002/2013)</ital>
                          </link>
                          . These regulations are sometimes referred to as the ECRs in CMA and BIS guidance. The E-Commerce Regulations partially implemented the 
                          <link href="https://uk.westlaw.com/Document/ID5B9BF0AD0174688A00650D5FCB98483/View/FullText.html" style="ACTLinkURL">
                            <ital>E-Commerce Directive (2000/31/EC)</ital>
                          </link>
                          .
                        </paratext>
                      </para>
                    </list.item>
                    <list.item>
                      <para>
                        <paratext>
                          <bold>Consumer ADR Regulations</bold>
                          : 
                          <link href="1-609-5633" style="ACTLinkPLCtoPLC">
                            <ital>The Alternative Dispute Resolution for Consumer Disputes (Competent Authorities and Information) Regulations 2015 (SI 2015/542)</ital>
                          </link>
                          . The Consumer ADR Regulations implemented the 
                          <link href="https://uk.westlaw.com/Document/ID54F125D43DB412381086D9541657B73/View/FullText.html" style="ACTLinkURL">
                            <ital>Consumer ADR Directive (2013/11/EU)</ital>
                          </link>
                          .
                        </paratext>
                      </para>
                    </list.item>
                  </list>
                </division>
                <division id="a788568" level="3">
                  <head align="left" preservecase="true">
                    <headtext>Guidance</headtext>
                  </head>
                  <list type="bulleted">
                    <list.item>
                      <para>
                        <paratext>
                          <bold>BIS CCRs guidance </bold>
                          (
                          <link href="1-617-0509" style="ACTLinkPLCtoPLC">
                            <ital>BIS: Implementing guidance: Consumer Contracts (Information, Cancellation and Additional Charges) Regulations (December 2013)</ital>
                          </link>
                          ).
                        </paratext>
                      </para>
                    </list.item>
                    <list.item>
                      <para>
                        <paratext>
                          <bold>BIS CRA Goods guidance</bold>
                           (
                          <link href="http://uk.practicallaw.com/6-619-2434" style="ACTLinkURL">
                            <ital>Consumer Rights Act: Goods, Guidance for business (September 2015</ital>
                          </link>
                          <ital>)</ital>
                          ).
                        </paratext>
                      </para>
                    </list.item>
                    <list.item>
                      <para>
                        <paratext>
                          <bold>BIS CRA Services guidance</bold>
                           (
                          <link href="w-018-3889" style="ACTLinkPLCtoPLC">
                            <ital>Consumer Rights Act: Services, Guidance for  business (September 2015)</ital>
                          </link>
                          ).
                        </paratext>
                      </para>
                    </list.item>
                    <list.item>
                      <para>
                        <paratext>
                          <bold>BIS CRA Digital Content guidance</bold>
                           (
                          <link href="w-018-3894" style="ACTLinkPLCtoPLC">
                            <ital>Consumer Rights Act: Digital Content Guidance for Business (September 2015)</ital>
                          </link>
                          ).
                        </paratext>
                      </para>
                    </list.item>
                    <list.item>
                      <para>
                        <paratext>
                          <bold>CMA Unfair terms guidance</bold>
                           (
                          <link href="6-618-2345" style="ACTLinkPLCtoPLC">
                            <ital>CMA Unfair contract terms guidance: CMA37 (July 2015)</ital>
                          </link>
                          ).
                        </paratext>
                      </para>
                    </list.item>
                    <list.item>
                      <para>
                        <paratext>
                          <bold>Commission Presentation Recommendations </bold>
                          (
                          <link href="https://ec.europa.eu/info/sites/default/files/sr_information_presentation.pdf" style="ACTLinkURL">
                            <ital>Recommendations for a better presentation of information to consumers (July 2019)</ital>
                          </link>
                          ).
                        </paratext>
                      </para>
                    </list.item>
                    <list.item>
                      <para>
                        <paratext>
                          <bold>Commission CRD Guidance </bold>
                          (
                          <link href="https://tmsnrt.rs/33ryUMO" style="ACTLinkURL">
                            <ital>European Commission: Guidance: Application of the Consumer Rights Directive (2011/83/EU) (29 December 2021)</ital>
                          </link>
                          .
                        </paratext>
                      </para>
                    </list.item>
                  </list>
                </division>
              </division>
              <division id="a959731" level="2">
                <head align="left" preservecase="true">
                  <headtext>Business to business rules and guidance</headtext>
                </head>
                <para>
                  <paratext>Legislation implies certain terms into contracts for the sale of goods and services. In many (but not all) cases these implied terms may be varied or excluded, provided it is reasonable to do so. There is also a large body of common law relevant to the formation and performance of such contracts. For more information, see:</paratext>
                </para>
                <list type="bulleted">
                  <list.item>
                    <para>
                      <paratext>
                        In relation to both goods and services, 
                        <link href="0-107-3646" style="ACTLinkPLCtoPLC">
                          <ital>Practice note, Supply contracts: overview</ital>
                        </link>
                        .
                      </paratext>
                    </para>
                  </list.item>
                  <list.item>
                    <para>
                      <paratext>
                        In relation to goods only, 
                        <link href="5-386-8420" style="ACTLinkPLCtoPLC">
                          <ital>Practice note, Drafting standard terms and conditions for the supply of goods</ital>
                        </link>
                        .
                      </paratext>
                    </para>
                  </list.item>
                  <list.item>
                    <para>
                      <paratext>
                        In relation to services only, 
                        <link href="2-501-7221" style="ACTLinkPLCtoPLC">
                          <ital>Practice note, Drafting standard terms and conditions for the supply of services</ital>
                        </link>
                        .
                      </paratext>
                    </para>
                  </list.item>
                </list>
                <division id="a579920" level="3">
                  <head align="left" preservecase="true">
                    <headtext>Treatment of digital content supplied B2B</headtext>
                  </head>
                  <para>
                    <paratext>
                      Whilst digital content is a separate category of product for the purposes of most consumer legislation, under business to business legislation it will be treated as either goods or services. For a discussion, see 
                      <link href="7-107-4789#a457722" style="ACTLinkPLCtoPLC">
                        <ital>Practice note, Main issues in software licensing and maintenance contracts: Does software constitute "goods"?</ital>
                      </link>
                    </paratext>
                  </para>
                </division>
              </division>
              <division id="a100468" level="2">
                <head align="left" preservecase="true">
                  <headtext>List of principal legislation and abbreviations used in the drafting notes</headtext>
                </head>
                <para>
                  <paratext>The main legislation affecting B2B contracts for goods and services is referred to in this note as follows:</paratext>
                </para>
                <list type="bulleted">
                  <list.item>
                    <para>
                      <paratext>
                        <bold>SGA</bold>
                        : the 
                        <link href="1-507-2816" style="ACTLinkPLCtoPLC">
                          <ital>Sale of Goods Act 1979</ital>
                        </link>
                        .
                      </paratext>
                    </para>
                  </list.item>
                  <list.item>
                    <para>
                      <paratext>
                        <bold>SGSA</bold>
                        : the 
                        <link href="5-384-4938" style="ACTLinkPLCtoPLC">
                          <ital>Supply of Goods and Services Act 1982</ital>
                        </link>
                        .
                      </paratext>
                    </para>
                  </list.item>
                  <list.item>
                    <para>
                      <paratext>
                        <bold>UCTA</bold>
                        : the 
                        <link href="7-505-7728" style="ACTLinkPLCtoPLC">
                          <ital>Unfair Contract Terms Act 1977</ital>
                        </link>
                        .
                        <bold> </bold>
                      </paratext>
                    </para>
                  </list.item>
                </list>
              </division>
              <division id="a562440" level="2">
                <head align="left" preservecase="true">
                  <headtext>Shorter or more comprehensive terms?</headtext>
                </head>
                <para>
                  <paratext>
                    These terms are purposely short and do not cover many of the issues addressed in business-to-business agreements. They focus mainly on those clauses for which the trader needs to get the consumer's acceptance (because they change the default legal position), for the reasons explained in 
                    <internal.reference refid="a594073">Drafting note, Reasons for keeping the terms short</internal.reference>
                    .
                  </paratext>
                </para>
                <para>
                  <paratext>However, this document does include some provisions which effectively recite the parties' default rights and obligations at law or which should be set out elsewhere, such as on a website or brochure, either for legal compliance or to increase the chances of their being effective or enforceable. These non-essential terms can be included if the trader feels more comfortable with more comprehensive terms or to mitigate the risk that required pre-contract information won't be properly presented elsewhere.</paratext>
                </para>
                <division id="a119245" level="3">
                  <head align="left" preservecase="true">
                    <headtext>Risk that pre-contract information won't be properly presented elsewhere</headtext>
                  </head>
                  <para>
                    <paratext>
                      There is a significant risk that information on a website in general (as opposed to in the terms or the privacy notice) may be changed by other sections of the business (for example, marketing) without the legal team's approval, causing a breach of consumer protection law. See, for example, the CMA action against Argos reported in 
                      <link href="w-030-3566" style="ACTLinkPLCtoPLC">
                        <ital>Legal update, Extended warranties for domestic electrical goods: CMA takes action</ital>
                      </link>
                      . Similar risks apply where the pre-contract information is presented by other means, such as by staff in-store.
                    </paratext>
                  </para>
                  <para>
                    <paratext>Having a "correct" set of fuller terms may be of some assistance if key information is lost from or obscured on the website over time or is otherwise not properly presented; the trader can argue that information was provided pre-contract because the consumer had access to the terms and was obliged to accept them before they could order (although providing information in the terms could never meet requirements to provide information at some specific points in an online consumer's journey).</paratext>
                  </para>
                  <para>
                    <paratext>However, if there are inconsistencies between the terms and information provided on the website or by sales people, it is likely that the latter will take precedence. This is because express consent is required to change pre-contract information about the products and there may be misrepresentation arguments. Best practice is to establish internal policies (supported by training and auditing) to ensure information required for legal compliance is given at the right time and in the right way during the customer journey.</paratext>
                  </para>
                </division>
                <division id="a649449" level="3">
                  <head align="left" preservecase="true">
                    <headtext>What if I leave it out?</headtext>
                  </head>
                  <para>
                    <paratext>For each term, the drafting note includes a section entitled "What if I leave it out?", which explains the consequences of omitting the provision. Traders can shorten the terms by leaving out non-essential provisions.</paratext>
                  </para>
                </division>
              </division>
              <division id="a594073" level="2">
                <head align="left" preservecase="true">
                  <headtext>Reasons for keeping the terms short</headtext>
                </head>
                <para>
                  <paratext>Traders should keep the terms short for the reasons set out below.</paratext>
                </para>
                <division id="a725513" level="3">
                  <head align="left" preservecase="true">
                    <headtext>Most key terms are determined by the pre-contract information the trader is required to provide to consumers during the purchase process</headtext>
                  </head>
                  <para>
                    <paratext>Under the CCRs, traders must give consumers information about the products they are buying, the price for them, the arrangements for delivery and performance and any cancellation rights, as well as information about the trader.</paratext>
                  </para>
                  <para>
                    <paratext>All the information so provided automatically becomes a term of the contract with the consumer, binding on both the trader and the consumer. This information must be provided pre-contract, in a clear and comprehensible manner. For distance contracts, there are specific requirements to present some of it at different stages of the purchase process.</paratext>
                  </para>
                  <para>
                    <paratext>Traders are not legally required to include the CCRs information in a set of terms and doing so is unlikely to satisfy the requirements for how the information is provided. The European Commission has urged online traders to consider whether terms are needed at all or whether the mandatory pre-contract information (confirmed on a durable medium) already covers what might have been said in the trader's terms.</paratext>
                  </para>
                </division>
                <division id="a128439" level="3">
                  <head align="left" preservecase="true">
                    <headtext>Keeping things short increases the chances of the terms being enforceable</headtext>
                  </head>
                  <para>
                    <paratext>A consumer's relationship with a trader is highly regulated and the trader's ability to modify the default legal position or impose obligations which would not otherwise apply to the consumer is strictly controlled. Any terms seeking to do this need to be fair to be enforceable by the trader and an element of fairness is that they are transparent (that is, clear and easily understood). Certain contract terms (around the main subject matter of the contract and the adequacy of the price) are also exempt from a fairness assessment if they are both transparent and prominent. But transparency and prominence are hard to achieve in a long document, so it is preferable to only include those terms which require acceptance by the consumer and omit those which recite the parties' default obligations.</paratext>
                  </para>
                </division>
                <division id="a237445" level="3">
                  <head align="left" preservecase="true">
                    <headtext>The consumer will have the pre-contract information in writing as a reference document.</headtext>
                  </head>
                  <para>
                    <paratext>
                      For distance contracts, the trader must confirm the CCRs pre-contract information post-contract, in writing, on a durable medium, see 
                      <link anchor="a432415" href="w-021-9711" style="ACTLinkPLCtoPLC">
                        <ital>Practice note, Consumer contracts: online selling: Confirming the CCRs pre-contract information on durable medium</ital>
                      </link>
                       and 
                      <link anchor="a432415" href="w-022-9740" style="ACTLinkPLCtoPLC">
                        <ital>Practice note, Consumer contracts: telephone and other (non-online) distance selling: Confirming the CCRs pre-contract information on a durable medium</ital>
                      </link>
                      . The information is generally provided via email, deposited in the consumer's online account (for example, as downloadable PDFs) or sent on a paper copy with the goods.
                    </paratext>
                  </para>
                  <para>
                    <paratext>
                      For off-premises contracts, the trader's initial provision of the CCRs pre-contract information must be on paper (or if the consumer agrees, another durable medium), see 
                      <link anchor="a712150" href="w-022-9951" style="ACTLinkPLCtoPLC">
                        <ital>Practice note, Consumer contracts: doorstep and other off-premises selling: Presentation requirements</ital>
                      </link>
                      .
                    </paratext>
                  </para>
                  <para>
                    <paratext>No equivalent obligations for provision or confirmation on a durable medium apply for on-premises contracts (providing the information by other methods is sufficient).</paratext>
                  </para>
                  <para>
                    <paratext>The written copy of pre-contract information provided for a distance or off-premises contract can serve as a reference document for the consumer, as it sets out the terms which applied at the time of their purchase; repeating the same information in the contract terms would therefore seem unneccessary.</paratext>
                  </para>
                  <para>
                    <paratext>In practice, traders often also make key information available in a more easily accessible format, for example via FAQs or web pages dedicated to their delivery, returns or complaints procedures (although such provision will not meet the "durable medium" requirement).</paratext>
                  </para>
                </division>
              </division>
            </division>
            <division id="a294367" level="1">
              <head align="left" preservecase="true">
                <headtext>Checklist of information to be provided to consumers pre-contract</headtext>
              </head>
              <para>
                <paratext>Traders must supply certain information to consumers before the contract is concluded. The requirements are imposed by several pieces of legislation. The information provided to comply with the CCRs becomes part of the contract with the consumer. For a consolidated checklist of what information must be provided and suggestions as to how it should be presented, see these practice notes:</paratext>
              </para>
              <list type="bulleted">
                <list.item>
                  <para>
                    <paratext>
                      For 
                      <bold>online</bold>
                       sales: 
                      <link anchor="a204944" href="w-021-9711" style="ACTLinkPLCtoPLC">
                        <ital>Consumer contracts: online selling: What information must traders present to consumers?</ital>
                      </link>
                      . This practice note reflects the 
                      <link href="https://ec.europa.eu/info/sites/default/files/sr_information_presentation.pdf" style="ACTLinkURL">
                        <ital>Commission Presentation Recommendations</ital>
                      </link>
                      , which continue to be relevant to online UK traders post-Brexit, see 
                      <internal.reference refid="a808152">Drafting note, Brexit</internal.reference>
                      .
                    </paratext>
                  </para>
                </list.item>
                <list.item>
                  <para>
                    <paratext>
                      For 
                      <bold>telephone, mail order and other (non-online) distance </bold>
                      sales: 
                      <link anchor="a204944" href="w-022-9740" style="ACTLinkPLCtoPLC">
                        <ital>Practice note, Consumer contracts: telephone and other (non-online) distance selling: What information must traders present to consumers?</ital>
                      </link>
                    </paratext>
                  </para>
                </list.item>
                <list.item>
                  <para>
                    <paratext>
                      For 
                      <bold>off-premises (doorstep)</bold>
                       sales: 
                      <link anchor="a204944" href="w-022-9951" style="ACTLinkPLCtoPLC">
                        <ital>Practice note, Consumer contracts: doorstep and other off-premises selling: What information must traders present to consumers?</ital>
                      </link>
                    </paratext>
                  </para>
                </list.item>
                <list.item>
                  <para>
                    <paratext>
                      For 
                      <bold>on-premises (in-store)</bold>
                       sales: 
                      <link anchor="a204944" href="w-023-0316" style="ACTLinkPLCtoPLC">
                        <ital>Practice note, Consumer contracts: in-store and other on-premises selling: What information must traders present to consumers?</ital>
                      </link>
                    </paratext>
                  </para>
                </list.item>
              </list>
              <para>
                <paratext>The practice notes for distance and off-premises selling also include the steps a trader must take during the purchase process to minimise its liabilities where the consumer has a right to cancel.</paratext>
              </para>
              <para>
                <paratext>
                  Note that in some cases, because of what is being sold (for example, financial services, package travel, timeshares and gambling services), the CCRs do not apply, see 
                  <link anchor="a892752" href="w-022-3748" style="ACTLinkPLCtoPLC">
                    <ital>Practice note, Consumer contracts: which rules apply?: Do any exclusions under the CRA or CCRs apply because of what is being sold or supplied?</ital>
                  </link>
                  . For many of the products not covered, sector specific legislation will apply instead. In addition, a few contracts (for example, a sale by an official of a bankrupt's property) will be out of scope because of how the contract was formed, see 
                  <link anchor="a991608" href="w-022-3748" style="ACTLinkPLCtoPLC">
                    <ital>Do any exclusions under the CRA or CCRs apply because of how the contract was formed?</ital>
                  </link>
                  .
                </paratext>
              </para>
            </division>
            <division id="a238731" level="1">
              <head align="left" preservecase="true">
                <headtext>Audit trail</headtext>
              </head>
              <para>
                <paratext>Traders should consider how they will prove what information was presented to the consumer on their journey and which version of the terms the consumer accepted (and that they did accept them). This evidence may be required if a consumer disputes that information was given to them or that they accepted the terms or took other actions.</paratext>
              </para>
            </division>
            <division id="a903228" level="1">
              <head align="left" preservecase="true">
                <headtext>Website usage for disabled customers</headtext>
              </head>
              <para>
                <paratext>
                  Under the Equality Act 2010, a trader is required to make reasonable adjustments to ensure its website can accommodate all users, including the disabled. The trader should discuss with its technical team the measures to adopt to make it easier for the visually impaired to view the terms. For more information on steps to take, see 
                  <link anchor="a908012" href="2-107-4800" style="ACTLinkPLCtoPLC">
                    <ital>Standard document, Website design and development agreement (pro-customer) (UK): Drafting note: Equality of access</ital>
                  </link>
                  . For information on the Equality Act 2010, see 
                  <link href="4-505-0634" style="ACTLinkPLCtoPLC">
                    <ital>Practice note, Equality Act 2010: discrimination in the provision of goods, services and facilities</ital>
                  </link>
                  .
                </paratext>
              </para>
            </division>
            <division id="a615835" level="1">
              <head align="left" preservecase="true">
                <headtext>Drafting tips</headtext>
              </head>
              <para>
                <paratext>
                  Consumer terms must be carefully drafted to meet the CRA requirement for transparency. In addition, if a trader wants to benefit from the exemption from the fairness test in the CRA in respect of terms concerning the main subject matter or the adequacy of the price, then such terms must be prominent. For more on these requirements, see 
                  <link href="w-022-6157" style="ACTLinkPLCtoPLC">
                    <ital>Practice note, Consumer contracts: unfair terms and transparency</ital>
                  </link>
                  . For drafting tips, see 
                  <link anchor="a869369" href="w-022-5839" style="ACTLinkPLCtoPLC">
                    <ital>Practice note, Consumer contracts: common terms and conditions: Drafting tips</ital>
                  </link>
                  .
                </paratext>
              </para>
            </division>
            <division id="a808152" level="1">
              <head align="left" preservecase="true">
                <headtext>Brexit</headtext>
              </head>
              <para>
                <paratext>
                  Brexit and the end of the 
                  <link href="w-023-9796" style="ACTLinkPLCtoPLC">
                    <ital>UK-EU transition period</ital>
                  </link>
                   have had little impact on the UK rules which regulate trading with consumers, even though the key legislation in this area is EU-derived.
                </paratext>
              </para>
              <para>
                <paratext>Such legislation remains in force, subject to changes made by Brexit statutory instruments, to reflect the fact that the UK is no longer in the EU.</paratext>
              </para>
              <para>
                <paratext>Insofar as Commission guidance summarises pre-transition EU case law which the UK courts have not departed from (and the underlying retained EU law has not been modified post-transition), it will remain relevant for the interpretation of UK law.</paratext>
              </para>
              <para>
                <paratext>
                  For more information, see 
                  <link anchor="a708531" href="4-618-1945" style="ACTLinkPLCtoPLC">
                    <ital>Practice note, Consumer law: introduction to key legislation: Overview: impact of Brexit on EU-derived law, CJEU case law and Commission guidance</ital>
                  </link>
                  . In the same note, see 
                  <link anchor="a212449" href="4-618-1945" style="ACTLinkPLCtoPLC">
                    <ital>Further reading</ital>
                  </link>
                   which links to detailed resources which should be consulted for a full analysis and exceptions to the general rules.
                </paratext>
              </para>
            </division>
            <division id="a368326" level="1">
              <head align="left" preservecase="true">
                <headtext>Distribution networks</headtext>
              </head>
              <para>
                <paratext>
                  If the trader is part of a distribution network with other traders, competition issues need to be considered, see 
                  <link anchor="a1025140" href="6-107-3648" style="ACTLinkPLCtoPLC">
                    <ital>Practice note: overview, Distribution agreements: overview: EU competition law and regulation</ital>
                  </link>
                  .
                </paratext>
              </para>
            </division>
          </drafting.note>
          <clause id="a271338" numbering="none">
            <head align="left" preservecase="true">
              <headtext>These terms may have changed since you last reviewed them</headtext>
            </head>
            <subclause1 id="a452492">
              <para>
                <paratext>For a list of changes and when they were made, see [LINK].</paratext>
              </para>
              <drafting.note id="a413556" jurisdiction="">
                <head align="left" preservecase="true">
                  <headtext>These terms may have changed since you last reviewed them</headtext>
                </head>
                <division id="a000002" level="1">
                  <division id="a136647" level="2">
                    <head align="left" preservecase="true">
                      <headtext>Telling consumers the terms may have changed</headtext>
                    </head>
                    <para>
                      <paratext>Many online traders include a statement flagging to the consumer that the terms may change and that the most current version at the time of their purchase will apply. This is not necessary if the (most current) terms are presented each time the consumer makes a purchase.</paratext>
                    </para>
                  </division>
                  <division id="a232358" level="2">
                    <head align="left" preservecase="true">
                      <headtext>Linking to previous versions</headtext>
                    </head>
                    <para>
                      <paratext>As a courtesy to consumers who may previously have read through the terms, traders may wish to link to a list of changes and the dates they were made.</paratext>
                    </para>
                    <para>
                      <paratext>
                        It may also help consumers to be able to access the terms as they applied at the time of their purchase, in case, as is likely, they did not print them off at the time. For more on the requirement to ensure they are printable, see 
                        <internal.reference refid="a271871">Drafting note, When you buy from us you are agreeing that:</internal.reference>
                        .
                      </paratext>
                    </para>
                  </division>
                  <division id="a203343" level="2">
                    <head align="left" preservecase="true">
                      <headtext>Acceptance of changes to ongoing contracts</headtext>
                    </head>
                    <para>
                      <paratext>Any changes made to the terms after a contract is entered into by the parties would need to be accepted by the consumer and this is an opportunity to also remind consumers of the terms existing at the time of purchase.</paratext>
                    </para>
                    <para>
                      <paratext>In an online context, the general practice is to require consumers to accept the changes to the terms before the consumer can continue to receive the product. Where the contract has been formed in another way, traders often notify the consumer of the changes and state that continued use of and, if applicable, payment for, the product is taken as consent to the changes.</paratext>
                    </para>
                    <para>
                      <paratext>
                        The form of any notice would need to take into account the controls on variation discussed in 
                        <internal.reference refid="a257752">We can change products and these terms</internal.reference>
                        ; in particular the changes should be flagged and explained (as well as included in the new version), reasonable notice may be required and, where appropriate, the consumer should be given the opportunity to terminate the contract penalty-free, before the changes take effect.
                      </paratext>
                    </para>
                  </division>
                  <division id="a782002" level="2">
                    <head align="left" preservecase="true">
                      <headtext>What if I leave out the "terms may have changed" provision?</headtext>
                    </head>
                    <para>
                      <paratext>The wording around changes which have been made over time is a courtesy measure and is not required by legislation. However, it may help the trader to prove that it has done everything it can to bring the terms to the consumer's attention; something which is essential if they are to be incorporated into the contract with the consumer.</paratext>
                    </para>
                  </division>
                </division>
              </drafting.note>
            </subclause1>
          </clause>
          <clause id="a521861" numbering="none">
            <head align="left" preservecase="true">
              <headtext>Where to find information about us and our products</headtext>
            </head>
            <subclause1 id="a882761">
              <para>
                <paratext>You can find everything you need to know about us, [TRADER NAME], and our products [on our website][, in our catalogue][ or from our sales staff] before you order. We also confirm the key information to you in writing [before] [or] [after] you order[, either by email, in your online account or on paper].</paratext>
              </para>
              <drafting.note id="a90389" jurisdiction="">
                <head align="left" preservecase="true">
                  <headtext>Where to find information about us and our products</headtext>
                </head>
                <division id="a000003" level="1">
                  <para>
                    <paratext>
                      As explained in 
                      <internal.reference refid="a294367">Drafting note, Checklist of information to be provided to consumers pre-contract</internal.reference>
                      , the trader must provide consumers with extensive information about itself and its products pre-contract during the consumer journey. This information is the basis of the contract.
                    </paratext>
                  </para>
                  <para>
                    <paratext>This term flags the availability of such information to consumers. The square bracketed wording referring to the trader's website, brochure or sales staff should be amended to reflect how information is provided in practice.</paratext>
                  </para>
                  <para>
                    <paratext>This section could provide links to relevant webpages, but in practice the information should be easily identifiable and accessible to the consumer on the website itself.</paratext>
                  </para>
                  <para>
                    <paratext>The final sentence deals with the provision/confirmation of pre-contract information on a durable medium. What is required depends on the method of sale:</paratext>
                  </para>
                  <list type="bulleted">
                    <list.item>
                      <para>
                        <paratext>
                          If off-premises sales will be made, include the words "before .. you order", as the trader must provide the CCRs information on paper (or, if agreed, via another durable medium) before contract conclusion for such sales. See 
                          <link anchor="a712150" href="w-022-9951" style="ACTLinkPLCtoPLC">
                            <ital>Practice note, Consumer contracts: doorstep and other off-premises selling: Presentation requirements</ital>
                          </link>
                          .
                        </paratext>
                      </para>
                    </list.item>
                    <list.item>
                      <para>
                        <paratext>
                          If distance sales will be made include the words "after .. you order", as the trader must confirm the CCRs information on a durable medium after contract conclusion (unless it has already been provided in this way). See, for example in relation to online sales, 
                          <link anchor="a432415" href="w-021-9711" style="ACTLinkPLCtoPLC">
                            <ital>Practice note, Consumer contracts: online selling: Confirming the CCRs pre-contract information on durable medium</ital>
                          </link>
                          .
                        </paratext>
                      </para>
                    </list.item>
                  </list>
                  <para>
                    <paratext>The square bracketed wording at the end of the provision gives several options for providing the information on a durable medium. If the contract will be formed off-premises the reference to paper should be included, unless the trader has set up a way of getting the consumer to consent to receiving the information via another durable medium. Obtaining such consent via the terms would not be sufficient because the consent needs to be obtained, and the information provided, pre-contract.</paratext>
                  </para>
                  <division id="a857231" level="2">
                    <head align="left" preservecase="true">
                      <headtext>What if I leave out the "where to find information" provision?</headtext>
                    </head>
                    <para>
                      <paratext>There is no legal requirement to include this provision in the terms, but it may be helpful in directing consumers to the information they are looking for and reassuring them that they will get a copy of it.</paratext>
                    </para>
                  </division>
                </division>
              </drafting.note>
            </subclause1>
          </clause>
          <clause id="a720455" numbering="none">
            <head align="left" preservecase="true">
              <headtext>We don't give business customers all the same rights as consumers</headtext>
            </head>
            <subclause1 id="a503700">
              <para>
                <paratext>For example, business customers can't cancel their orders, they have different rights where there is a problem with a product and we don't compensate them in the same way for losses caused by us or our products. Where a term applies just to businesses or just to consumers, this is clearly stated. You are a business customer if you are buying products wholly or mainly for use in connection with your trade, business, craft or profession, even if you are an individual.</paratext>
              </para>
              <drafting.note id="a593474" jurisdiction="">
                <head align="left" preservecase="true">
                  <headtext>We don’t give business customers all the same rights as consumers</headtext>
                </head>
                <division id="a000004" level="1">
                  <para>
                    <paratext>
                      The title of the provision is drafted with the intention that consumers will not waste time reading it. It seems helpful to flag the differences in the terms for business users upfront. For more information on when someone is a consumer, see 
                      <link anchor="a204192" href="w-022-4729" style="ACTLinkPLCtoPLC">
                        <ital>Practice note, Consumer contracts: is it a consumer contract?: Individual acting as a consumer</ital>
                      </link>
                      .
                    </paratext>
                  </para>
                  <division id="a811640" level="2">
                    <head align="left" preservecase="true">
                      <headtext>What if I leave out the "different terms apply to businesses" provision?</headtext>
                    </head>
                    <para>
                      <paratext>It is not strictly necessary to flag the differences upfront, as each term that is consumer or business customer specific clearly states this, but the provision could be included to help orient customers. Similarly explaining when a customer is buying as a business is not necessary, but could be helpful.</paratext>
                    </para>
                  </division>
                </division>
              </drafting.note>
            </subclause1>
          </clause>
          <clause id="a351218" numbering="none">
            <head align="left" preservecase="true">
              <headtext>When you buy from us you are agreeing that:</headtext>
            </head>
            <list type="bulleted">
              <list.item>
                <para>
                  <paratext>
                    <internal.reference refid="a119452">We only accept orders when we've checked them</internal.reference>
                    .
                  </paratext>
                </para>
              </list.item>
              <list.item>
                <para>
                  <paratext>
                    <internal.reference refid="a608777">Sometimes we reject orders</internal.reference>
                    .
                  </paratext>
                </para>
              </list.item>
              <list.item>
                <para>
                  <paratext>
                    <internal.reference refid="a206737">We charge you when [you order OR we accept your order OR we supply your product]</internal.reference>
                    .
                  </paratext>
                </para>
              </list.item>
              <list.item>
                <para>
                  <paratext>
                    <internal.reference refid="a465390">We charge interest on late payments</internal.reference>
                    .
                  </paratext>
                </para>
              </list.item>
              <list.item>
                <para>
                  <paratext>
                    <internal.reference refid="a817944">We pass on increases in VAT</internal.reference>
                    .
                  </paratext>
                </para>
              </list.item>
              <list.item>
                <para>
                  <paratext>
                    <internal.reference refid="a952379">We're not responsible for delays outside our control</internal.reference>
                    .
                  </paratext>
                </para>
              </list.item>
              <list.item>
                <para>
                  <paratext>
                    <internal.reference refid="a966420">Products can vary slightly from their pictures</internal.reference>
                    .
                  </paratext>
                </para>
              </list.item>
              <list.item>
                <para>
                  <paratext>
                    <internal.reference refid="a252067">You're responsible for making sure your measurements are accurate</internal.reference>
                    .
                  </paratext>
                </para>
              </list.item>
              <list.item>
                <para>
                  <paratext>
                    <internal.reference refid="a533805">We charge you if you don't give us information we need [or do preparatory work as agreed with us]</internal.reference>
                  </paratext>
                </para>
              </list.item>
              <list.item>
                <para>
                  <paratext>
                    <internal.reference refid="a408689">If you are a consumer [and you bought [online,] [by mail order,] [over the telephone] [or] [on your doorstep]], you have a legal right to change your mind [plus extra rights under our guarantee OR and however you bought you have rights under our guarantee]</internal.reference>
                    .
                  </paratext>
                </para>
              </list.item>
              <list.item>
                <para>
                  <paratext>
                    <internal.reference refid="a380822">You can end an on-going contract (find out how)</internal.reference>
                    .
                  </paratext>
                </para>
              </list.item>
              <list.item>
                <para>
                  <paratext>
                    <internal.reference refid="a156701">You have rights if there is something wrong with your product</internal.reference>
                    .
                  </paratext>
                </para>
              </list.item>
              <list.item>
                <para>
                  <paratext>
                    <internal.reference refid="a257752">We can change products and these terms</internal.reference>
                    .
                  </paratext>
                </para>
              </list.item>
              <list.item>
                <para>
                  <paratext>
                    <internal.reference refid="a466087">We can suspend supply (and you have rights if we do)</internal.reference>
                    .
                  </paratext>
                </para>
              </list.item>
              <list.item>
                <para>
                  <paratext>
                    <internal.reference refid="a889796">We can withdraw products</internal.reference>
                    .
                  </paratext>
                </para>
              </list.item>
              <list.item>
                <para>
                  <paratext>
                    <internal.reference refid="a552072">We can end our contract with you</internal.reference>
                    .
                  </paratext>
                </para>
              </list.item>
              <list.item>
                <para>
                  <paratext>
                    <internal.reference refid="a685803">We don't compensate you for all losses caused by us or our products</internal.reference>
                    .
                  </paratext>
                </para>
              </list.item>
              <list.item>
                <para>
                  <paratext>
                    <internal.reference refid="a182170">We use your personal data as set out in our Privacy Notice</internal.reference>
                    .
                  </paratext>
                </para>
              </list.item>
              <list.item>
                <para>
                  <paratext>
                    <internal.reference refid="a281601">You have several options for resolving disputes with us</internal.reference>
                    .
                  </paratext>
                </para>
              </list.item>
              <list.item>
                <para>
                  <paratext>
                    <internal.reference refid="a702623">Other important terms apply to our contract</internal.reference>
                    .
                  </paratext>
                </para>
              </list.item>
            </list>
            <drafting.note id="a271871" jurisdiction="">
              <head align="left" preservecase="true">
                <headtext>When you buy from us you are agreeing that:</headtext>
              </head>
              <division id="a000005" level="1">
                <division id="a550766" level="2">
                  <head align="left" preservecase="true">
                    <headtext>Incorporating the terms</headtext>
                  </head>
                  <para>
                    <paratext>As a matter of common law, all terms of a contract must be brought to a customer's attention, if they are to be incorporated into a contract effectively and so bind the customer.</paratext>
                  </para>
                  <division id="a734339" level="3">
                    <head align="left" preservecase="true">
                      <headtext>Selling online</headtext>
                    </head>
                    <para>
                      <paratext>
                        For online contracts, the 
                        <link href="https://ec.europa.eu/info/sites/default/files/sr_information_presentation.pdf" style="ACTLinkURL">
                          <ital>Commission Presentation Recommendations</ital>
                        </link>
                         suggest making any terms available before conclusion of the contract by an easily understandable link, giving the consumer the chance to read, store and print them. That link should be permanently available to the consumer throughout their journey, and what is behind it should be clear to everyone; an acronym such as Ts&amp;Cs should be avoided as it may not be understood.
                      </paratext>
                    </para>
                  </division>
                  <division id="a543667" level="3">
                    <head align="left" preservecase="true">
                      <headtext>Selling over the telephone</headtext>
                    </head>
                    <para>
                      <paratext>
                        Where a contract is made over the telephone, the sales person will read out key information to the customer and ask them to confirm their acceptance of it. The trader may direct the customer to another source (for example, a toll-free recorded message or its website) for other information. 
                        <link anchor="a449673" href="w-022-9740" style="ACTLinkPLCtoPLC">
                          <ital>Practice note, Consumer contracts: telephone and other (non-online) distance selling: CCRs: information requirements</ital>
                        </link>
                         includes recommendations on how to present the pre-contract information required under the CCRs in a telephone sales context. Insofar as these terms cover additional points, traders will want to limit the terms read out to the consumer to the essentials and should consider the "What if I leave it out?" section of each drafting note.
                      </paratext>
                    </para>
                  </division>
                  <division id="a306875" level="3">
                    <head align="left" preservecase="true">
                      <headtext>Selling off-premises or by post</headtext>
                    </head>
                    <para>
                      <paratext>Where a trader is making an off-premises sale (or contracting solely via post), terms should be set out in an order form or the order form should point customers to another document (already provided to them) where the terms can be found. The order form should include a prominent statement that, by submitting the order, the customer is accepting the terms. Generally, it is better not to require customers to manually tick a box confirming acceptance of the terms on a paper order form, because if they fail to do this it will create problems.</paratext>
                    </para>
                  </division>
                  <division id="a278374" level="3">
                    <head align="left" preservecase="true">
                      <headtext>Selling on-premises</headtext>
                    </head>
                    <para>
                      <paratext>
                        For on-premises sales, a written contract will only be appropriate for some purchases (such as goods which will be delivered subsequently by the retailer or of ongoing services). In other situations, the trader should consider providing information about the terms which require customer acceptance at till points, on products and via sales staff interaction. Otherwise, the consumer pre-contract information obligations (which are lighter than for distance and off-premises sales) can be complied with via other methods. For suggestions, see 
                        <link anchor="a131339" href="w-023-0316" style="ACTLinkPLCtoPLC">
                          <ital>Practice note, Consumer contracts: in-store and other on-premises selling: Incorporating terms and conditions into the contract</ital>
                        </link>
                        . Regardless of which approach is taken it is worth increasing the chance of consumers seeing the terms by setting them out in (or linking to them from) brochures and marketing.
                      </paratext>
                    </para>
                  </division>
                </division>
                <division id="a755133" level="2">
                  <head align="left" preservecase="true">
                    <headtext>Using a table of contents</headtext>
                  </head>
                  <para>
                    <paratext>The goal is to maximise consumer comprehension of the terms, so the headings are as meaningful as possible and are listed up-front, in a table of contents.</paratext>
                  </para>
                  <para>
                    <paratext>On a webpage, a good option may be to put the full text of each term as a drop-down section which is revealed if the consumer clicks on or hovers over the heading. For convenience, it should also be possible to reveal all the terms at once, to save the consumer having to click on each heading to view the terms as a whole. This would also be helpful for the printing option. An option to save the terms to a pdf file may help consumers who don't have access to a printer.</paratext>
                  </para>
                  <para>
                    <paratext>In a print-only version, because the hyperlinks will not work, it may be preferable to number the terms, to help the consumer find the part they are interested in. The few hyperlinked cross-references between terms could be replaced with the number of the clause and, for clarity, its title. For example, "see clause [NUMBER] (You have several options for resolving disputes with us)".</paratext>
                  </para>
                </division>
                <division id="a990221" level="2">
                  <head align="left" preservecase="true">
                    <headtext>What if I leave out the consumer's agreement to the terms and the table of contents?</headtext>
                  </head>
                  <para>
                    <paratext>The "when you buy from us you are agreeing that" wording draws the consumer's attention to the fact that they will be bound by these terms; it seems worth including to improve the chances of the terms being incorporated into the contract with the consumer.</paratext>
                  </para>
                  <para>
                    <paratext>
                      Having a table of contents will also make the terms easier to scan quickly and increase transparency, which contributes to fairness, see 
                      <internal.reference refid="a128439">Drafting note, Keeping things short increases the chances of the terms being enforceable</internal.reference>
                      .
                    </paratext>
                  </para>
                </division>
              </division>
            </drafting.note>
          </clause>
          <clause id="a283112" numbering="none">
            <head align="left" preservecase="true">
              <headtext>If you are a business customer this is our entire agreement with you</headtext>
            </head>
            <subclause1 id="a575335">
              <para>
                <paratext>If you are a business customer these terms constitute the entire agreement between us in relation to your purchase. You acknowledge that you have not relied on any statement, promise, representation, assurance or warranty made or given by us or on our behalf which is not set out in these terms and that you have no claim for innocent or negligent misrepresentation [or negligent misstatement] based on any statement in this agreement.</paratext>
              </para>
              <drafting.note id="a384237" jurisdiction="">
                <head align="left" preservecase="true">
                  <headtext>If you are a business customer this is our entire agreement with you</headtext>
                </head>
                <division id="a000006" level="1">
                  <para>
                    <paratext>
                      The entire agreement provision applies only to business customers. For more information on entire agreement clauses, see 
                      <link href="2-107-3834" style="ACTLinkPLCtoPLC">
                        <ital>Standard clause, Entire agreement</ital>
                      </link>
                      .
                    </paratext>
                  </para>
                  <para>
                    <paratext>
                      In a consumer context any such provision is likely to be unfair and unenforceable. For more information, see 
                      <link anchor="a783599" href="w-022-5839" style="ACTLinkPLCtoPLC">
                        <ital>Practice note, Consumer contracts: common terms and conditions: Entire agreement clauses</ital>
                      </link>
                      .
                    </paratext>
                  </para>
                </division>
              </drafting.note>
            </subclause1>
          </clause>
          <clause id="a119452" numbering="none">
            <head align="left" preservecase="true">
              <headtext>We only accept orders when we've checked them</headtext>
            </head>
            <subclause1 id="a947462">
              <para>
                <paratext>
                  We contact you to confirm we've received your order and [then we contact you again [(normally within [PERIOD])] to confirm we've accepted it 
                  <bold>OR</bold>
                   we accept it when we dispatch or supply the product [and confirm dispatch or supply] to you].
                </paratext>
              </para>
              <drafting.note id="a203244" jurisdiction="">
                <head align="left" preservecase="true">
                  <headtext>We only accept orders when we've checked them</headtext>
                </head>
                <division id="a427947" level="1">
                  <head align="left" preservecase="true">
                    <headtext>Acknowledgement of order receipt</headtext>
                  </head>
                  <para>
                    <paratext>It is common practice to immediately acknowledge receipt of online orders via an automated email. Some traders will also acknowledge orders submitted in other ways, whether by email or other methods.</paratext>
                  </para>
                  <para>
                    <paratext>
                      Acknowledging receipt by email meets the requirement under the E-Commerce Regulations that service providers must acknowledge any order without undue delay and by electronic means (
                      <ital>regulation 11</ital>
                      ). However, the E-Commerce Regulations specify that provision of the service itself can serve as an acknowledgement and government guidance states that the requirement can also be met by a confirmation that appears at the end of the ordering process (e.g. on a screen) but is not necessarily “sent” to the recipient by email or an equivalent communication (
                      <link href="https://webarchive.nationalarchives.gov.uk/ukgwa/20130103013730/http://www.bis.gov.uk/files/file14635.pdf" style="ACTLinkURL">
                        <ital>A guide for business to the Electronic Commerce (EC Directive) Regulations 2002</ital>
                      </link>
                      ).
                    </paratext>
                  </para>
                  <division id="a314476" level="2">
                    <head align="left" preservecase="true">
                      <headtext>What if I leave out the order acknowledgement provision?</headtext>
                    </head>
                    <para>
                      <paratext>Although sending an acknowledgement of order receipt is common (and probably best) practice, it is not necessary to tell consumers in the terms that this is what will happen. However, the trader may want to include this wording, so as to set out the entire order process for the consumer in a reference document.</paratext>
                    </para>
                  </division>
                </division>
                <division id="a769735" level="1">
                  <head align="left" preservecase="true">
                    <headtext>Order acceptance</headtext>
                  </head>
                  <para>
                    <paratext>This document offers two options for when the order is accepted by the trader, and the contract is formed, either:</paratext>
                  </para>
                  <list type="bulleted">
                    <list.item>
                      <para>
                        <paratext>
                          When the trader contacts the consumer to confirm acceptance of the order (see
                          <ital> </ital>
                          <internal.reference refid="a541748">Drafting note, Order acceptance</internal.reference>
                          ).
                        </paratext>
                      </para>
                    </list.item>
                    <list.item>
                      <para>
                        <paratext>
                          When the goods are dispatched or the digital content or services are supplied to the consumer (see 
                          <internal.reference refid="a498535">Drafting note, Order acceptance on dispatch</internal.reference>
                          ).
                        </paratext>
                      </para>
                    </list.item>
                  </list>
                  <para>
                    <paratext>For the reasons given below, best practice would seem to be to accept orders within a short period of their being submitted, rather than on dispatch or supply.</paratext>
                  </para>
                  <division id="a541748" level="2">
                    <head align="left" preservecase="true">
                      <headtext>Order acceptance</headtext>
                    </head>
                    <para>
                      <paratext>Generally, the advertisement of a product on a website is considered to be an "invitation to treat", rather than an offer to sell on the terms specified. On submitting their order for a product, the consumer makes an offer, which the trader is then free to accept or reject. Traders often reflect this position expressly in their terms; the advantage to the trader of this sequence is that it will have an opportunity to reject orders before becoming bound, for example, when it has insufficient stock or if there has been a mistake in pricing.</paratext>
                    </para>
                    <para>
                      <paratext>
                        The words "and then we'll contact you again … to confirm we've accepted it" provide that the contract is formed when the trader emails the consumer to confirm acceptance. If in practice order confirmation (or rejection) is sent immediately, the consumer detriment which results from delaying contract conclusion (see 
                        <internal.reference refid="a498535">Drafting note, Order acceptance on dispatch</internal.reference>
                        ) would seem to be minimised. However, the fairness of terms is assessed on how they could be used, rather than how they are used in practice (CMA Unfair terms guidance, para 2.19). Taking this into account, the trader could commit to a timescale for acceptance and optional wording for this is included; the shorter the period specified, the better.
                      </paratext>
                    </para>
                  </division>
                  <division id="a498535" level="2">
                    <head align="left" preservecase="true">
                      <headtext>Order acceptance on dispatch</headtext>
                    </head>
                    <para>
                      <paratext>Some traders expressly provide in their terms that no contract to supply the product is formed until the product is dispatched to the consumer. This approach can result in consumer detriment because:</paratext>
                    </para>
                    <list type="bulleted">
                      <list.item>
                        <para>
                          <paratext>The default delivery period of 30 days specified in the CRA for goods only starts running on contract formation and the safeguard it offers would not be available.</paratext>
                        </para>
                      </list.item>
                      <list.item>
                        <para>
                          <paratext>As the trader is not bound to supply until dispatch, if the trader eventually rejects an order the consumer would have no contractual claim to compensation for the time and effort they might have to spend sourcing substitute products, possibly on less favourable terms.</paratext>
                        </para>
                      </list.item>
                      <list.item>
                        <para>
                          <paratext>It is not certain that a consumer would have a claim against a credit provider under the Consumer Credit Act 1974 (for a trader's breach or misrepresentation) until a contract was formed, so one option for recovering sums paid would not be open to them.</paratext>
                        </para>
                      </list.item>
                    </list>
                    <para>
                      <paratext>
                        The CMA comments that even if consumers are aware of a term delaying contract formation, they are unlikely to appreciate the consequences of agreeing to it unless these are explained in very clear and specific language (
                        <link href="https://assets.publishing.service.gov.uk/government/uploads/system/uploads/attachment_data/file/1022615/Reforming_Competition_and_Consumer_Policy_publication_4.10.21.pdf" style="ACTLinkURL">
                          <ital>CMA response to "Reforming Competition and Consumer Policy: Driving growth and delivery competitive markets that work for consumers", 4 October 2021</ital>
                        </link>
                        ). Presumably such consequences would need to be brought to the consumer's attention other than solely by inclusion in the terms. The CMA further states that consumers who fully appreciated the consequences of such a term would be unlikely to willingly agree to it, which suggests that it may be unfair (and so unenforceable). In addition, seeking to impose such a term could be an unfair commercial practice under CPUT. For more on the fairness requirement, see 
                        <link href="w-022-6157" style="ACTLinkPLCtoPLC">
                          <ital>Practice note, Consumer contracts: unfair terms and transparency</ital>
                        </link>
                         and for more on CPUT, see 
                        <link href="2-381-1492" style="ACTLinkPLCtoPLC">
                          <ital>Practice note, Consumer Protection from Unfair Trading Regulations 2008</ital>
                        </link>
                        .
                      </paratext>
                    </para>
                    <para>
                      <paratext>Delaying contract formation until dispatch can also disadvantage a trader commercially:</paratext>
                    </para>
                    <list type="bulleted">
                      <list.item>
                        <para>
                          <paratext>The consumer can withdraw their order before dispatch and have no liability for payment. This is not an issue if the consumer has a cancellation right under the CCRs, but the cancellation rights do not apply to certain products (for example, bespoke goods).</paratext>
                        </para>
                      </list.item>
                      <list.item>
                        <para>
                          <paratext>Any pre-delivery obligations on the consumer, such as to give prior notice of circumstances impeding delivery (for example, narrow access roads or stairs) would not bind the consumer until dispatch, at which point compliance might be not be practicable.</paratext>
                        </para>
                      </list.item>
                      <list.item>
                        <para>
                          <paratext>If contract formation for digital content or services were deferred until these were actually supplied, the cancellation period would effectively be extended, since for these products it expires 14 days after contract formation.</paratext>
                        </para>
                      </list.item>
                    </list>
                  </division>
                  <division id="a184759" level="2">
                    <head align="left" preservecase="true">
                      <headtext>What if I leave out the order acceptance provision?</headtext>
                    </head>
                    <para>
                      <paratext>
                        In its consultation on when ownership is transferred under consumer contracts, the Law Commission states its view that (unless terms provide otherwise) a contract would normally be formed on payment by the consumer (
                        <link href="https://s3-eu-west-2.amazonaws.com/lawcom-prod-storage-11jsxou24uy7q/uploads/2021/04/Transfer-of-ownership-report-and-bill.pdf" style="ACTLinkURL">
                          <ital>Law Commission: Report: Consumer sales contracts: transfer of ownership (23 April 2021)</ital>
                        </link>
                        ). If the trader wants to change this default position, then it should include this provision.
                      </paratext>
                    </para>
                  </division>
                </division>
                <division id="a807206" level="1">
                  <head align="left" preservecase="true">
                    <headtext>Requirements under the E-Commerce Regulations</headtext>
                  </head>
                  <para>
                    <paratext>Under the E-Commerce Regulations, where a contract is to be concluded by electronic means (such as on online contract) the trader must provide the following information before the order is placed:</paratext>
                  </para>
                  <list type="bulleted">
                    <list.item>
                      <para>
                        <paratext>The different technical steps to follow to conclude the contract.</paratext>
                      </para>
                    </list.item>
                    <list.item>
                      <para>
                        <paratext>Whether or not the concluded contract will be filed by the service provider and whether it will be accessible (this is unlikely to be relevant in the UK).</paratext>
                      </para>
                    </list.item>
                    <list.item>
                      <para>
                        <paratext>The technical means for identifying and correcting input errors before placing of the order.</paratext>
                      </para>
                    </list.item>
                    <list.item>
                      <para>
                        <paratext>The languages offered for the conclusion of the contract.</paratext>
                      </para>
                    </list.item>
                  </list>
                  <para>
                    <paratext>
                      (
                      <ital>Regulation 9(1), E-Commerce Regulations</ital>
                      .)
                    </paratext>
                  </para>
                  <para>
                    <paratext>Some e-commerce websites cover these points in the terms. We suggest incorporating this information into the order page instead, although in practice it should be self-evident from the order process. Given that there is no option for "filing" a UK consumer contract, we suggest that information about this may be omitted.</paratext>
                  </para>
                </division>
              </drafting.note>
            </subclause1>
          </clause>
          <clause id="a608777" numbering="none">
            <head align="left" preservecase="true">
              <headtext>Sometimes we reject orders</headtext>
            </head>
            <subclause1 id="a381459">
              <para>
                <paratext>
                  Sometimes we reject orders, for example, because a product is unexpectedly out of stock[, because a credit reference we have obtained is unsatisfactory][, because we can't verify your age (where the product is age-restricted)][, because you are located outside the [UK 
                  <bold>OR</bold>
                   our delivery areas, as stated on our website[ and in our marketing]]] or because the product was mispriced by us. When this happens, we let you know as soon as possible and refund any sums you have paid.
                </paratext>
              </para>
              <drafting.note id="a835665" jurisdiction="">
                <head align="left" preservecase="true">
                  <headtext>Sometimes we reject orders</headtext>
                </head>
                <division id="a000007" level="1">
                  <para>
                    <paratext>A trader may reject orders, rather than accepting them.</paratext>
                  </para>
                  <para>
                    <paratext>Any requirement for credit or age checks or geographical limits on supply or delivery should be flagged to the consumer as early as possible in the sales process, to avoid wasting the consumer's time.</paratext>
                  </para>
                  <para>
                    <paratext>
                      For information on how to describe geographical restrictions, see the 
                      <link href="https://www.businesscompanion.info/en/quick-guides/goods/delivery-charges" style="ACTLinkURL">
                        <ital>BEIS: Guidance: Delivery charges</ital>
                      </link>
                      , as discussed in 
                      <link anchor="a729824" href="w-022-5839" style="ACTLinkPLCtoPLC">
                        <ital>Practice note, Consumer contracts: common terms and conditions: Information about delivery costs and arrangements</ital>
                      </link>
                      .
                    </paratext>
                  </para>
                  <para>
                    <paratext>
                      <bold>What if I leave out the information about when orders may be rejected?</bold>
                    </paratext>
                  </para>
                  <para>
                    <paratext>
                      Although a trader is not obliged to accept orders, offering goods and then refusing to sell them may be an unfair commercial practice. At the least the consumer will have wasted time in selecting and ordering goods and perhaps waiting for them and they may also have lost the opportunity to buy the product on favourable terms elsewhere. In addition, offering products which the trader cannot reasonably expect to be able to supply or with the intention of persuading a consumer to buy another product is always an unfair commercial practice, see 
                      <link anchor="a674149" href="2-381-1492" style="ACTLinkPLCtoPLC">
                        <ital>Practice note, Consumer Protection from Unfair Trading Regulations 2008: Bait advertising (paragraph 5)</ital>
                      </link>
                       and, in the same note, 
                      <link anchor="a493986" href="2-381-1492" style="ACTLinkPLCtoPLC">
                        <ital>Bait and switch advertising (paragraph 6)</ital>
                      </link>
                      .
                    </paratext>
                  </para>
                  <para>
                    <paratext>This provision repeats reasons for rejecting orders which should have been provided during the consumer journey. Including it in the terms may reduce consumer complaints, but is not strictly necessary.</paratext>
                  </para>
                  <division id="a707112" level="2">
                    <head align="left" preservecase="true">
                      <headtext>Orders mistakenly accepted</headtext>
                    </head>
                    <para>
                      <paratext>
                        A trader may inadvertently accept an order which it subsequently discovers it should have rejected. If the mistake is obvious the trader may be able to rely on the common law doctrine of unilateral mistake to void the contract (see 
                        <link anchor="a13271" href="4-380-7658" style="ACTLinkPLCtoPLC">
                          <ital>Practice note, Contracts: mistakes affecting formation and terms: Taking conscious advantage of another party's mistake</ital>
                        </link>
                        ). If this argument is not available (and no other arguments can be made) then if the trader refuses to supply (or is unable to) it will be in breach of contract and the consumer may have a claim for compensation.
                      </paratext>
                    </para>
                  </division>
                </division>
              </drafting.note>
            </subclause1>
          </clause>
          <clause id="a206737" numbering="none">
            <head align="left" preservecase="true">
              <headtext>We charge you when [you order OR we accept your order OR we supply your product]</headtext>
            </head>
            <subclause1 id="a692012">
              <para>
                <paratext>However, for some products we take payment at regular intervals, as explained to you during the order process. If your product is goods (rather than digital content or services), you will own it once we have received payment in full.</paratext>
              </para>
              <drafting.note id="a436791" jurisdiction="">
                <head align="left" preservecase="true">
                  <headtext>We charge you when [you order OR we accept your order OR we supply your product]</headtext>
                </head>
                <division id="a306771" level="1">
                  <head align="left" preservecase="true">
                    <headtext>Time of payment collection</headtext>
                  </head>
                  <division id="a000008" level="2">
                    <division id="a495626" level="3">
                      <head align="left" preservecase="true">
                        <headtext>Drafting options</headtext>
                      </head>
                      <para>
                        <paratext>
                          This provision gives drafting for several common approaches to taking payment. In practice, charging when an order is accepted and when the goods are sent out might amount to the same thing, if contract formation is deferred until dispatch, see 
                          <internal.reference refid="a498535">Drafting note, Order acceptance on dispatch</internal.reference>
                          .
                        </paratext>
                      </para>
                    </division>
                    <division id="a895546" level="3">
                      <head align="left" preservecase="true">
                        <headtext>CCRs pre-contract information requirements</headtext>
                      </head>
                      <para>
                        <paratext>
                          The CCRs require that information about payment arrangements be provided pre-contract. For suggestions on how to provide this information, see the practice notes linked to from 
                          <internal.reference refid="a294367">Drafting note, Checklist of information to be provided to consumers pre-contract</internal.reference>
                        </paratext>
                      </para>
                      <para>
                        <paratext>Neither the EU or the UK guidance list the time at which the consumer's card will be charged as part of the required information about payment arrangements, but it would seem safest to include this.</paratext>
                      </para>
                    </division>
                    <division id="a830661" level="3">
                      <head align="left" preservecase="true">
                        <headtext>Potential unfairness of requiring payment in advance</headtext>
                      </head>
                      <para>
                        <paratext>It is common for the consumer to pay in full before they receive the product. However, for the consumer this can be detrimental because:</paratext>
                      </para>
                      <list type="bulleted">
                        <list.item>
                          <para>
                            <paratext>If there is a problem with the product the consumer cannot withhold sums still due to the trader by way of compensation. However, the CMA notes that this risk is reduced in respect of goods for which the consumer has a right to cancel under the CCRs (because in such cases, the consumer is generally entitled to a refund).</paratext>
                          </para>
                        </list.item>
                        <list.item>
                          <para>
                            <paratext>There is a risk to the consumer that the trader will become insolvent before delivery and the consumer will neither receive the product nor recover their payment. Taking full payment only immediately before dispatch or delivery mitigates this risk for the consumer.</paratext>
                          </para>
                        </list.item>
                      </list>
                    </division>
                    <division id="a251155" level="3">
                      <head align="left" preservecase="true">
                        <headtext>Suggested best practice</headtext>
                      </head>
                      <para>
                        <paratext>There is a tension between:</paratext>
                      </para>
                      <list type="bulleted">
                        <list.item>
                          <para>
                            <paratext>The potential unfairness of taking payment when orders are submitted, because of the risks of trader insolvency before dispatch.</paratext>
                          </para>
                        </list.item>
                        <list.item>
                          <para>
                            <paratext>
                              Taking payment on dispatch, which reduces the risks to the consumer from trader insolvency but could (without appropriate drafting) result in deferral of contract formation, which can itself cause consumer detriment, see 
                              <internal.reference refid="a498535">Drafting note, Order acceptance on dispatch</internal.reference>
                              .
                            </paratext>
                          </para>
                        </list.item>
                      </list>
                      <para>
                        <paratext>This tension would seem best resolved by the trader:</paratext>
                      </para>
                      <list type="bulleted">
                        <list.item>
                          <para>
                            <paratext>
                              Accepting an order and confirming contract formation on or soon after order submission (see 
                              <internal.reference refid="a541748">Drafting note, Order acceptance</internal.reference>
                              ).
                            </paratext>
                          </para>
                        </list.item>
                        <list.item>
                          <para>
                            <paratext>Taking payment only on dispatch, although there may be reasons not to do this and the trader can take steps to mitigate any consumer harm caused by taking payment earlier, see below.</paratext>
                          </para>
                        </list.item>
                      </list>
                    </division>
                    <division id="a624985" level="3">
                      <head align="left" preservecase="true">
                        <headtext>Reasons for taking payment immediately and unfairness mitigations</headtext>
                      </head>
                      <para>
                        <paratext>For some traders it is not possible to defer taking payment until they are ready to dispatch goods or supply services or digital content. This is because their payment provider will not allow them to store consumers' payment details; the trader is obliged to take payment when the consumer enters their details at the time of order. Or the trader may take payment immediately because it needs money upfront to pay its suppliers. In such situations, if the payment due is substantial and the lead time is long, the trader should consider initially only taking a deposit.</paratext>
                      </para>
                      <para>
                        <paratext>
                          In the case of services, a trader may also need money upfront (for example, to purchase materials) and some form of staged payments where the services are provided over a period of time. The CMA Unfair terms guidance does not object to staged payments where they fairly reflect a trader's expenditure, provided consumers retain a sufficient amount until completion to enable them to fairly exercise a right of set-off (
                          <ital>paragraph 5.8.10</ital>
                          ).
                        </paratext>
                      </para>
                      <para>
                        <paratext>
                          If the trader does insist on full payment in advance (which is potentially unfair), the CMA Unfair terms guidance recommends that fairness may be achieved if the money is held in secure arrangements which guarantee it will not be released until any dispute is resolved by independent adjudication (for example, by placing monies in escrow) (
                          <ital>paragraph 5.8.10</ital>
                          ). An example of an escrow service is Transpact, see www.transpact.com.
                        </paratext>
                      </para>
                    </division>
                  </division>
                  <division id="a103219" level="2">
                    <head align="left" preservecase="true">
                      <headtext>What if I leave out the time of payment provision?</headtext>
                    </head>
                    <para>
                      <paratext>
                        On the basis that the time at which the consumer's card will be debited is part of the "arrangements for payment" information required pre-contract under the CCRs, then once this information has been provided on the website it will automatically become a term of the contract with the consumer and its inclusion in the terms is not necessary. However, a trader may want to include the information here on the basis that this is where a consumer would expect to find it or to give coherence to the terms as a whole (particularly if the transfer of ownership provision is included, see 
                        <internal.reference refid="a511186">Drafting note, Transfer of ownership</internal.reference>
                        ).
                      </paratext>
                    </para>
                  </division>
                </division>
                <division id="a511186" level="1">
                  <head align="left" preservecase="true">
                    <headtext>Transfer of ownership</headtext>
                  </head>
                  <para>
                    <paratext>
                      Despite consolidation of most consumer law on sale of goods into the CRA, the provisions on transfer of title in the 
                      <link href="https://uk.westlaw.com/Document/I603B7AB0E42311DAA7CF8F68F6EE57AB/View/FullText.html" style="ACTLinkURL">
                        <ital>Sale of Goods Act 1979</ital>
                      </link>
                       (SGA) continue to apply to consumer transactions. Generally, title in goods passes when the contract is made or, if later, when the goods are in a deliverable state, despite the fact that payment may be made later (
                      <link href="https://uk.practicallaw.thomsonreuters.com/Document/ICC882170E44911DA8D70A0E70A78ED65/View/FullText.html?originationContext=document&amp;amp;transitionType=DocumentItem&amp;amp;ppcid=5102406b212b417da9a1662cdd822ff5&amp;amp;contextData=(sc.Default)&amp;amp;comp=pluk" style="ACTLinkURL">
                        <ital>section 18</ital>
                      </link>
                      <ital>, SGA</ital>
                      ). Most traders prefer to retain title to the goods until payment has been received, which this provision provides for. For more information, see 
                      <link anchor="a465879" href="w-022-3547" style="ACTLinkPLCtoPLC">
                        <ital>Practice note, Consumer contracts: selling goods: Transfer of ownership</ital>
                      </link>
                      .
                    </paratext>
                  </para>
                  <division id="a698072" level="2">
                    <head align="left" preservecase="true">
                      <headtext>What if I leave out the transfer of ownership provisions?</headtext>
                    </head>
                    <para>
                      <paratext>If the transfer of ownership terms are omitted the default provisions under the SGA will apply.</paratext>
                    </para>
                  </division>
                </division>
                <division id="a194725" level="1">
                  <head align="left" preservecase="true">
                    <headtext>Other issues around price and payment</headtext>
                  </head>
                  <para>
                    <paratext>
                      See 
                      <link anchor="a829160" href="w-022-5839" style="ACTLinkPLCtoPLC">
                        <ital>Practice note, Consumer contracts: common terms and conditions: Price</ital>
                      </link>
                       and, in the same note, 
                      <link anchor="a651623" href="w-022-5839" style="ACTLinkPLCtoPLC">
                        <ital>Payment</ital>
                      </link>
                      , for a discussion of the following issues that may also arise:
                    </paratext>
                  </para>
                  <list type="bulleted">
                    <list.item>
                      <para>
                        <paratext>When and how the price must be communicated to consumers.</paratext>
                      </para>
                    </list.item>
                    <list.item>
                      <para>
                        <paratext>Inclusion of VAT in prices.</paratext>
                      </para>
                    </list.item>
                    <list.item>
                      <para>
                        <paratext>Information about Buy Now Pay Later services (CAP guidance).</paratext>
                      </para>
                    </list.item>
                    <list.item>
                      <para>
                        <paratext>Refund of deposits.</paratext>
                      </para>
                    </list.item>
                    <list.item>
                      <para>
                        <paratext>Terms encouraging prompt payment.</paratext>
                      </para>
                    </list.item>
                    <list.item>
                      <para>
                        <paratext>Payment surcharges.</paratext>
                      </para>
                    </list.item>
                    <list.item>
                      <para>
                        <paratext>Express consent for additional payments.</paratext>
                      </para>
                    </list.item>
                    <list.item>
                      <para>
                        <paratext>Storage of payment card details for future purposes.</paratext>
                      </para>
                    </list.item>
                  </list>
                </division>
                <division id="a966464" level="1">
                  <head align="left" preservecase="true">
                    <headtext>Transfer of risk</headtext>
                  </head>
                  <para>
                    <paratext>
                      Under the CRA, risk in goods passes to the consumer at the earliest of the goods coming into the physical possession of the consumer or a person identified by the consumer to accept the goods. Alternatively, if the consumer commissions a carrier to deliver the goods (rather than selecting one from a range offered by the trader) risk passes on delivery to that carrier (
                      <ital>section 29, CRA</ital>
                      ). There is no requirement to inform the consumer of the position, and this document does not attempt to do so. For more information, see 
                      <link anchor="a829044" href="w-022-3547" style="ACTLinkPLCtoPLC">
                        <ital>Practice note, Consumer contracts: selling goods: Transfer of risk</ital>
                      </link>
                      .
                    </paratext>
                  </para>
                </division>
              </drafting.note>
            </subclause1>
          </clause>
          <clause id="a657389" numbering="none">
            <head align="left" preservecase="true">
              <headtext>If you are a business customer you have no set-off rights</headtext>
            </head>
            <subclause1 id="a302176">
              <para>
                <paratext>If you are a business customer [you must pay all amounts due to us under these terms in full without any set-off, counterclaim, deduction or withholding (other than any deduction or withholding of tax as required by law) OR all amounts due under this agreement (from you to us or from us to you) shall be paid in full without any set-off, counterclaim, deduction or withholding (other than any deduction or withholding of tax as required by law).]</paratext>
              </para>
              <drafting.note id="a856830" jurisdiction="">
                <head align="left" preservecase="true">
                  <headtext>If you are a business customer you have no set-off rights</headtext>
                </head>
                <division id="a000009" level="1">
                  <para>
                    <paratext>This clause excludes business customers' rights to set-off. The first option preserves the trader's right to set off against business customers. The second option also prevents set-off by the trader.</paratext>
                  </para>
                  <para>
                    <paratext>This provision will be subject to the UCTA reasonableness test by virtue of section 3 or (insofar as the clause prevents the customer exercising such rights where the goods are in breach of statutory implied conditions) sections 6 or 7 of UCTA. If the customer is attempting to exercise such rights in relation to a misrepresentation claim, the exclusion will be subject to the UCTA reasonableness test by virtue of section 3 of the Misrepresentation Act 1967.</paratext>
                  </para>
                  <para>
                    <paratext>
                      There have been a number of cases on the reasonableness of this provision, with findings both ways, but the Court of Appeal has found that a clause that excluded one party's rights to set-off only without giving any reason for the different treatment was unenforceable (
                      <ital>Axa Sun Life Services plc v Campbell Martin Ltd and others [2011] EWCA Civ 133</ital>
                      ). The trader should therefore state the justification for the difference in the body of the contract, or consider stating making the exclusion mutual (if the payment stream is one way, this should not affect the trader in practice). For information on set-off clauses, see the integrated drafting notes to 
                      <link href="9-107-3802#a214887" style="ACTLinkPLCtoPLC">
                        <ital>Standard clause, Set-off</ital>
                      </link>
                       and 
                      <link href="1-107-3801" style="ACTLinkPLCtoPLC">
                        <ital>Practice note, Set-off clauses</ital>
                      </link>
                      .
                    </paratext>
                  </para>
                  <division id="a615826" level="2">
                    <head align="left" preservecase="true">
                      <headtext>Consumer's right to set off not excluded</headtext>
                    </head>
                    <para>
                      <paratext>
                        Excluding a consumer's right of set-off is potentially unfair under the CRA (
                        <ital>paragraph 5.8, CMA Unfair terms guidance</ital>
                        ). In addition, any clause which prevents the consumer exercising its set-off rights where the products are in breach of the statutory implied conditions will be wholly unenforceable under the CRA (
                        <ital>sections 31(2)(a), 47(2)(a) and 57(4)(a), CRA</ital>
                        ).
                      </paratext>
                    </para>
                  </division>
                </division>
              </drafting.note>
            </subclause1>
          </clause>
          <clause id="a465390" numbering="none">
            <head align="left" preservecase="true">
              <headtext>We charge interest on late payments</headtext>
            </head>
            <subclause1 id="a726454">
              <para>
                <paratext>If we're unable to collect any payment you owe us we charge interest on the overdue amount at the rate of [ ]% a year above the Bank of England base rate from time to time. This interest accrues on a daily basis from the due date until the date of actual payment of the overdue amount, whether before or after judgment. You pay us the interest together with any overdue amount.</paratext>
              </para>
              <drafting.note id="a407834" jurisdiction="">
                <head align="left" preservecase="true">
                  <headtext>We charge interest on late payments</headtext>
                </head>
                <division id="a000010" level="1">
                  <division id="a720466" level="2">
                    <head align="left" preservecase="true">
                      <headtext>Interest</headtext>
                    </head>
                    <para>
                      <paratext>
                        Where payments are made at intervals (and not all upfront), the trader may want to reserve the right to charge interest. A term that a consumer must pay interest on late payments under a contract may be considered unfair if the rate of interest is excessive, because any term requiring a defaulting consumer to pay a disproportionately high sum in compensation is potentially unfair (
                        <ital>paragraph 6, Schedule 2, CRA</ital>
                        ). According to the CMA Unfair terms guidance, a rate excessively above the clearing banks' base rates is likely to be regarded as unfair (
                        <ital>paragraph 5.14.2</ital>
                        ). Generally, traders tend to add a small margin of between 2% and (at the most) 4% over the base rate of the Bank of England.
                      </paratext>
                    </para>
                  </division>
                  <division id="a409149" level="2">
                    <head align="left" preservecase="true">
                      <headtext>What if I leave out the interest provision?</headtext>
                    </head>
                    <para>
                      <paratext>
                        If the trader wants to be able to charge interest on late payments it must reserve this right expressly; no right to interest is implied at common law and legislation only requires payment of interest on certain business-to-business debts, see 
                        <link anchor="a270611" href="7-107-3799" style="ACTLinkPLCtoPLC">
                          <ital>Practice note, Interest clauses: Do you need an express interest clause?</ital>
                        </link>
                        . The chances of this provision being enforceable would be increased by flagging the interest rate during the consumer journey, for example where the payment arrangements are set out.
                      </paratext>
                    </para>
                  </division>
                </division>
              </drafting.note>
            </subclause1>
          </clause>
          <clause id="a817944" numbering="none">
            <head align="left" preservecase="true">
              <headtext>We pass on increases in VAT</headtext>
            </head>
            <subclause1 id="a136161">
              <para>
                <paratext>If the rate of VAT changes between your order date and the date we supply the product, we adjust the rate of VAT that you pay, unless you have already paid in full before the change in the rate of VAT takes effect.</paratext>
              </para>
              <drafting.note id="a393542" jurisdiction="">
                <head align="left" preservecase="true">
                  <headtext>We pass on increases in VAT</headtext>
                </head>
                <division id="a000011" level="1">
                  <para>
                    <paratext>When selling to consumers, all prices must include value added tax (VAT). In B2B contracts, prices typically exclude VAT because businesses can generally recover all or part of amounts paid in respect of VAT as input tax.</paratext>
                  </para>
                  <para>
                    <paratext>
                      For both business and consumer customers, if the amount of VAT is not stated, it is implied that the price is inclusive of VAT (
                      <ital>section 19(2), Value Added Tax Act 1994</ital>
                      ). For more information, see 
                      <link href="2-107-3725" style="ACTLinkPLCtoPLC">
                        <ital>Practice note, VAT: overview</ital>
                      </link>
                      .
                    </paratext>
                  </para>
                  <para>
                    <paratext>
                      It is permissible to provide that any increases in VAT between the order date and the date of delivery or performance will be passed on to the consumer (
                      <ital>paragraph 5.23, CMA Unfair terms guidance</ital>
                      ).
                    </paratext>
                  </para>
                  <division id="a466065" level="2">
                    <head align="left" preservecase="true">
                      <headtext>What if I leave out the increase in VAT provision?</headtext>
                    </head>
                    <para>
                      <paratext>Without this provision, a trader will have no right to pass on VAT increases between the order date and date of delivery or performance. For contracts which are performed immediately or over a short period this is unlikely to be cause for concern, as the trader will have time to adjust its prices before any increase starts to apply. However, a right to increase prices may be appropriate in a longer-term contract.</paratext>
                    </para>
                  </division>
                </division>
              </drafting.note>
            </subclause1>
          </clause>
          <clause id="a952379" numbering="none">
            <head align="left" preservecase="true">
              <headtext>We're not responsible for delays outside our control</headtext>
            </head>
            <subclause1 id="a791216">
              <para>
                <paratext>If our supply of your product is delayed by an event outside our control[, such as [EXAMPLES]], we contact you as soon as possible to let you know and do what we can to reduce the delay. As long as we do this, we won't compensate you for the delay, but [if the delay is likely to be substantial] you can contact our Customer Service Team: [LINK TO OR WEBSITE ADDRESS FOR CUSTOMER SERVICE TEAM PAGE OR TELEPHONE NUMBER FOR TEAM] to end the contract and receive a refund for any products you have paid for in advance, but not received.</paratext>
              </para>
              <drafting.note id="a476391" jurisdiction="">
                <head align="left" preservecase="true">
                  <headtext>We're not responsible for delays outside our control</headtext>
                </head>
                <division id="a000012" level="1">
                  <para>
                    <paratext>The CMA Unfair terms guidance considers it permissible to exclude liability for delay or non-performance only:</paratext>
                  </para>
                  <list type="bulleted">
                    <list.item>
                      <para>
                        <paratext>
                          Where this is genuinely due to an event outside a trader's control (
                          <ital>paragraph 5.9, CMA Unfair terms guidance</ital>
                          ). As the term "force majeure" may not be understood by consumers, we have used the term "events outside our control" instead. It may be helpful to give examples but these should not be things the trader can control, in particular, shortages of stock, failures of communication systems under the trader's control (see 
                          <link href="8-518-5018" style="ACTLinkPLCtoPLC">
                            <ital>Legal update, OFT accepts undertakings by Groupon to reform trading practices</ital>
                          </link>
                          ) or strikes by the trader's own staff (which could be settled by agreeing to staff demands).
                        </paratext>
                      </para>
                    </list.item>
                    <list.item>
                      <para>
                        <paratext>If the trader takes reasonable steps to prevent or minimise delay.</paratext>
                      </para>
                    </list.item>
                    <list.item>
                      <para>
                        <paratext>Where there is a risk of substantial delay, the consumer is given a penalty-free right to terminate.</paratext>
                      </para>
                    </list.item>
                  </list>
                  <division id="a492469" level="2">
                    <head align="left" preservecase="true">
                      <headtext>Refunds on termination</headtext>
                    </head>
                    <para>
                      <paratext>The term provides for the trader to refund sums paid for products not received on termination. A full refund is implicit in the CMA Unfair terms guidance suggestion that consumers should be able to terminate "penalty-free".</paratext>
                    </para>
                    <para>
                      <paratext>
                        Guidance issued by the CMA during the COVID-19 pandemic (see 
                        <link anchor="introduction" href="https://www.gov.uk/government/publications/cma-to-investigate-concerns-about-cancellation-policies-during-the-coronavirus-covid-19-pandemic/the-coronavirus-covid-19-pandemic-consumer-contracts-cancellation-and-refunds" style="ACTLinkURL">
                          <ital>CMA Statement on coronavirus (COVID-19), consumer contracts, cancellation and refunds (as updated on 28 August 2020)</ital>
                        </link>
                        ) suggested that a trader could reserve the right to "withhold a limited amount for any costs it has already incurred in performing the specific contract" where contracts could not be performed due to lockdown laws. However, the CMA treated the lockdown laws as a frustrating event and the rules around frustration can permit a trader to retain expenses.  It is not clear that such a right to retention would be fair in a force majeure situation.
                      </paratext>
                    </para>
                  </division>
                  <division id="a696447" level="2">
                    <head align="left" preservecase="true">
                      <headtext>What if I leave out the force majeure provision?</headtext>
                    </head>
                    <para>
                      <paratext>A trader can only plead force majeure if its terms contain an appropriate clause.</paratext>
                    </para>
                    <para>
                      <paratext>
                        In rare situations, a contract may be frustrated, so that both parties are excused from further performance and the trader may have a right to retain some expenses. For example, the CMA stated its view that some consumer contracts were frustrated by lockdown laws during the COVID-19 pandemic, see 
                        <link anchor="a305223" href="w-024-6601" style="ACTLinkPLCtoPLC">
                          <ital>Practice note, COVID-19: commercial contracts FAQs: Is the contract frustrated?</ital>
                        </link>
                        .  There is no need to reserve the right to plead frustration.
                      </paratext>
                    </para>
                    <para>
                      <paratext>
                        In addition to including a force majeure clause, traders can take other steps to minimise their liability for delays, see 
                        <link anchor="a424879" href="w-022-5839" style="ACTLinkPLCtoPLC">
                          <ital>Practice note, Consumer contracts: common terms and conditions: Excusing delay</ital>
                        </link>
                        .
                      </paratext>
                    </para>
                  </division>
                </division>
              </drafting.note>
            </subclause1>
          </clause>
          <clause id="a966420" numbering="none">
            <head align="left" preservecase="true">
              <headtext>Products can vary slightly from their pictures</headtext>
            </head>
            <subclause1 id="a760715">
              <para>
                <paratext>A product's true colour may not exactly match that shown [on your device] [or] [in our marketing] or its packaging may be slightly different. [Because our products are handmade, all sizes, weights, capacities, dimensions and measurements indicated on our website can be out by up to [2]%.]</paratext>
              </para>
              <drafting.note id="a722396" jurisdiction="">
                <head align="left" preservecase="true">
                  <headtext>Products can vary slightly from their pictures</headtext>
                </head>
                <division id="a000013" level="1">
                  <para>
                    <paratext>
                      This clause is intended to prevent a consumer rejecting goods on the basis that they do not match their description in specific ways. In effect, the trader is reserving the right to deliver a product which is different from the one it advertised and the trader's ability to do this is very limited (see 
                      <internal.reference refid="a917547">Drafting note, We can change products and these terms</internal.reference>
                      ).
                    </paratext>
                  </para>
                  <para>
                    <paratext>The wording refers to "a device", so as to cover as many different technologies as possible (for example, phone, tablet, laptop, desktop, wearable). The reference to "marketing" is intended to cover printed brochures and other advertising.</paratext>
                  </para>
                  <para>
                    <paratext>
                      Possible variations in the product (for example, due to the manufacturing process) should be built into the product description. However, provisions which give a trader a very wide discretion as to what to supply may be unfair. Under the CRA a term which permits the trader to determine the characteristics of the subject matter of the contract after the consumer has become bound by it is grey-listed as potentially unfair (
                      <link href="w-019-0253" style="ACTLinkPLCtoPLC">
                        <ital>paragraph 12, Schedule 2, CRA</ital>
                      </link>
                      ).
                    </paratext>
                  </para>
                  <para>
                    <paratext>Many traders offer samples, for example of fabrics. Alternatively, consumers may be encouraged to look at products in-store. Such steps, together with a warning about the limitation of on-screen or printed images and any (reasonable) variations in sizes, weights, capacities, dimensions and measurements due to the manufacturing process may reduce returns and the associated costs for a business. The relevant wording is best promoted on the website in the product description, rather than in the terms, which are rarely read, if at all, until the consumer is making their online purchase.</paratext>
                  </para>
                  <division id="a612386" level="2">
                    <head align="left" preservecase="true">
                      <headtext>What if I leave out the product variation provision?</headtext>
                    </head>
                    <para>
                      <paratext>
                        This provision is only really relevant for those goods which the consumer cannot return within 14 days of receipt because they have changed their mind, see 
                        <internal.reference refid="a720477">Drafting note, If you are a consumer [and you bought [online,] [by mail order,] [over the telephone] [or] [on your doorstep]], you have a legal right to change your mind [plus extra rights under our guarantee OR and however you bought you have rights under our guarantee]</internal.reference>
                        .
                      </paratext>
                    </para>
                    <para>
                      <paratext>This clause suggests some limited discrepancies which it may be reasonable for a trader to disclaim liability for, essentially on the grounds that they are insignificant.  Whether it is reasonable (and so enforceable) is likely to depend on the nature of the discrepancy.</paratext>
                    </para>
                  </division>
                </division>
              </drafting.note>
            </subclause1>
          </clause>
          <clause id="a252067" numbering="none">
            <head align="left" preservecase="true">
              <headtext>You're responsible for making sure your measurements are accurate</headtext>
            </head>
            <subclause1 id="a597238">
              <para>
                <paratext>If we're making or supplying the product to measurements you provide, you're responsible for making sure those measurements are correct. Find information and tips on how to measure [on our website] [and] [in our brochure] or contact our Customer Service Team: [LINK TO OR WEBSITE ADDRESS FOR CUSTOMER SERVICE TEAM PAGE OR TELEPHONE NUMBER FOR TEAM].</paratext>
              </para>
              <drafting.note id="a558812" jurisdiction="">
                <head align="left" preservecase="true">
                  <headtext>You're responsible for making sure your measurements are accurate</headtext>
                </head>
                <division id="a000014" level="1">
                  <para>
                    <paratext>This wording serves only as a prompt to consumers to double check their measurements and to point them to guidance on measuring. As such, this or wording to similar effect would fit better on the product and order pages than in the terms.</paratext>
                  </para>
                  <division id="a578528" level="2">
                    <head align="left" preservecase="true">
                      <headtext>What if I leave out the responsibility for measurements provision?</headtext>
                    </head>
                    <para>
                      <paratext>The trader is unlikely to be responsible for incorrect measurements provided by the consumer, unless these were the result of inadequate instructions on how to measure (in which case any attempt to exclude liability may well be unfair).</paratext>
                    </para>
                  </division>
                </division>
              </drafting.note>
            </subclause1>
          </clause>
          <clause id="a533805" numbering="none">
            <head align="left" preservecase="true">
              <headtext>We charge you if you don't give us information we need [or do preparatory work as agreed with us]</headtext>
            </head>
            <subclause1 id="a593688">
              <para>
                <paratext>We charge you additional sums if you don't give us information we've asked for about how we can access your property for delivery, installation or to provide services or if you don't do preparatory work for installation, as agreed with us. For example, we might need to re-deliver on another vehicle or with extra manpower, reschedule services or [OTHER CONSEQUENCES].</paratext>
              </para>
              <drafting.note id="a526357" jurisdiction="">
                <head align="left" preservecase="true">
                  <headtext>We charge you if you don't give us information we need [or do preparatory work as agreed with us]</headtext>
                </head>
                <division id="a000015" level="1">
                  <para>
                    <paratext>This clause reserves the right to charge a consumer the costs incurred because the consumer failed to provide requested information or undertake necessary preparatory work. It is only likely to be fair if the request for information was made prominently by the trader, for example, in a free text box presented during the online check-out process or in any paper order form or by a member of the sales team.</paratext>
                  </para>
                  <para>
                    <paratext>The provision refers to "additional sums" as opposed to "costs", as the latter might suggest that the trader had to forego any profit margin on any repeat performance required of it.</paratext>
                  </para>
                  <division id="a863529" level="2">
                    <head align="left" preservecase="true">
                      <headtext>What if I leave out the pre-delivery information and preparatory work provision?</headtext>
                    </head>
                    <para>
                      <paratext>
                        The trader might find it difficult to recover additional sums without this provision. While the trader may have requested the relevant information from the consumer, the consumer would not necessarily have a contractual obligation to provide it (depending on how the order process was organised) and so a damages claim might not be possible. The trader might have a restitution claim, see 
                        <link href="5-107-4865" style="ACTLinkPLCtoPLC">
                          <ital>Practice note, Remedies: restitution</ital>
                        </link>
                        .
                      </paratext>
                    </para>
                  </division>
                </division>
              </drafting.note>
            </subclause1>
          </clause>
          <clause id="a408689" numbering="none">
            <head align="left" preservecase="true">
              <headtext>If you are a consumer [and you bought [online,] [by mail order,] [over the telephone] [or] [on your doorstep]], you have a legal right to change your mind [plus extra rights under our guarantee OR and however you bought you have rights under our guarantee]</headtext>
            </head>
            <drafting.note id="a720477" jurisdiction="">
              <head align="left" preservecase="true">
                <headtext>If you are a consumer [and you bought [online,] [by mail order,] [over the telephone] [or] [on your doorstep]], you have a legal right to change your mind [plus extra rights under our guarantee OR and however you bought you have rights under our guarantee]</headtext>
              </head>
              <division id="a000016" level="1">
                <para>
                  <paratext>
                    This provision summarises the consumer's cancellation rights under the CCRs. For more information on these rights, see 
                    <link href="w-022-4906" style="ACTLinkPLCtoPLC">
                      <ital>Practice note, Consumer contracts: right to cancel and costs of return</ital>
                    </link>
                    .
                  </paratext>
                </para>
                <para>
                  <paratext>
                    The consumer must be informed of these rights and the procedure for exercising them pre-contract and, for the reasons discussed in 
                    <internal.reference refid="a294367">Drafting note, Checklist of information to be provided to consumers pre-contract</internal.reference>
                    , they should not just be included in the terms. For presentation recommendations, see the method-of-sale-specific practice notes linked to from that drafting note.
                  </paratext>
                </para>
                <para>
                  <paratext>
                    A consumer will also have other rights to end the contract and, even where no such rights apply, if a consumer refuses to proceed with the contract (for example, by refusing to pay), then the trader must mitigate its losses and cannot reserve the right to retain or charge the full sums due under the contract, see 
                    <link anchor="a581488" href="w-022-5839" style="ACTLinkPLCtoPLC">
                      <ital>Practice note, Consumer contracts: common terms and conditions: Termination of the contract by the consumer</ital>
                    </link>
                    .
                  </paratext>
                </para>
                <division id="a518771" level="2">
                  <head align="left" preservecase="true">
                    <headtext>Selecting the appropriate drafting</headtext>
                  </head>
                  <para>
                    <paratext>If the terms are being used exclusively for on-premises sales this term may be omitted, as such sales do not attract cancellation rights.</paratext>
                  </para>
                  <para>
                    <paratext>In the title select the appropriate drafting as follows:</paratext>
                  </para>
                  <list type="bulleted">
                    <list.item>
                      <para>
                        <paratext>If the terms are being used exclusively for distance or off-premises sales (so that all consumers will have a legal cancellation right) then omit the references to the different sale methods (begin the clause with "If you are a consumer you have a legal right to change your mind..") and, if applicable, select the "plus extra rights under our guarantee" option in the final brackets.</paratext>
                      </para>
                    </list.item>
                    <list.item>
                      <para>
                        <paratext>If the terms may be used for on-premises sales (to which no legal cancellation right applies), as well as either or both of distance and off-premises sales, then reference the sales methods actually used. If a guarantee is offered, then from the final set of brackets select:</paratext>
                      </para>
                      <list type="bulleted">
                        <list.item>
                          <para>
                            <paratext>"plus extra rights under our guarantee" if the additional rights only apply to distance and off-premises sales.</paratext>
                          </para>
                        </list.item>
                        <list.item>
                          <para>
                            <paratext>"and however you bought you also have rights under our guarantee" if a cancellation right is being given in respect of on-premises sales as well distance and off-premises sales.</paratext>
                          </para>
                        </list.item>
                      </list>
                    </list.item>
                  </list>
                </division>
                <division id="a200782" level="2">
                  <head align="left" preservecase="true">
                    <headtext>What if I leave out the information about cancellation rights?</headtext>
                  </head>
                  <para>
                    <paratext>There is no requirement to include information about the consumer's cancellation rights under the CCRs in the terms; the information needs to be presented more prominently during the purchase process (and these provisions could be adapted for use on a "Returns" or similar page).</paratext>
                  </para>
                  <para>
                    <paratext>
                      However, cancellation does involve some obligations on the consumer (to return the goods and pay for services provided up to cancellation) which do not automatically become implied terms of the contract (unlike most of the trader's obligations). Failure to comply with these obligations may be actionable by the trader as a breach of statutory duty. In addition, the consumer may be obliged to take care of the goods under the law of bailment and could possibly be prosecuted for theft if they fail to return goods. For more information, see 
                      <link anchor="a94107" href="w-022-4906" style="ACTLinkPLCtoPLC">
                        <ital>Practice note, Consumer contracts: right to cancel and costs of return: Breach by the consumer</ital>
                      </link>
                      . Despite this, making the obligations contract terms may make it easier for the trader to enforce them.
                    </paratext>
                  </para>
                  <para>
                    <paratext>If some of the provisions around cancellation are being set out in the contract, it is probably clearer to set them all out. In addition, the cancellation rights, together with a consumer's rights in respect of defective or misdescribed products, are what a consumer is most likely to look for in the terms.</paratext>
                  </para>
                </division>
              </division>
            </drafting.note>
            <subclause1 id="a768498">
              <para>
                <paratext>
                  <bold>Your legal right to change your mind</bold>
                  . For most of our products [bought [online,] [by mail order,] [over the telephone] [or] [on your doorstep]], you have a legal right to change your mind about your purchase and receive a refund of what you paid for it, including the delivery costs. This is subject to some conditions, as set out below.
                </paratext>
              </para>
              <drafting.note id="a345588" jurisdiction="">
                <head align="left" preservecase="true">
                  <headtext>Your legal right to change your mind</headtext>
                </head>
                <division id="a000017" level="1">
                  <para>
                    <paratext>The provision refers to a "right to change your mind" rather than a right to cancel, as this seems more readily understandable for consumers.</paratext>
                  </para>
                  <para>
                    <paratext>If no sales are being made on-premises (in-store) omit the references to sales methods and begin the clause with "You have a legal right to change your mind..".</paratext>
                  </para>
                  <para>
                    <paratext>
                      See also 
                      <internal.reference refid="a200782">Drafting note, What if I leave out the information about cancellation rights?</internal.reference>
                    </paratext>
                  </para>
                </division>
              </drafting.note>
            </subclause1>
            <subclause1 id="a514486">
              <para>
                <paratext>
                  <bold>Our goodwill guarantee for consumers</bold>
                  . In addition, we, [NAME AND ADDRESS OF TRADER], offer our UK consumer customers a goodwill guarantee for most products [bought [online,] [by mail order,] [over the telephone] [or] [on your doorstep,] 
                  <bold>OR</bold>
                   however they are purchased,] which is more generous than your legal rights in the ways set out below. This goodwill guarantee does not affect your legal rights if there is something wrong with your product (for more on those rights see 
                  <internal.reference refid="a156701">You have rights if there is something wrong with your product</internal.reference>
                  ).
                </paratext>
              </para>
              <para>
                <paratext>
                  <table frame="all" pgwide="1">
                    <tgroup cols="2">
                      <colspec colname="1" colnum="1" colwidth="50"/>
                      <colspec colname="2" colnum="2" colwidth="50"/>
                      <tbody>
                        <row>
                          <entry valign="top">
                            <para align="left">
                              <paratext>
                                <bold>Your legal rights</bold>
                              </paratext>
                            </para>
                          </entry>
                          <entry valign="top">
                            <para align="left">
                              <paratext>
                                <bold>How our goodwill guarantee is more generous </bold>
                              </paratext>
                            </para>
                          </entry>
                        </row>
                        <row>
                          <entry valign="top">
                            <para align="left">
                              <paratext>14 days to change your mind[, [online,] [telephone,] [mail order] [and] [doorstep] sales only].</paratext>
                            </para>
                          </entry>
                          <entry valign="top">
                            <para align="left">
                              <paratext>
                                [NUMBER] days to change your mind[, [online,] [telephone,] [mail order] [and] [doorstep] sales only 
                                <bold>OR</bold>
                                 however you bought the product].
                              </paratext>
                            </para>
                          </entry>
                        </row>
                        <row>
                          <entry valign="top">
                            <para align="left">
                              <paratext>You pay costs of return</paratext>
                            </para>
                          </entry>
                          <entry valign="top">
                            <para align="left">
                              <paratext>We pay costs of return</paratext>
                            </para>
                          </entry>
                        </row>
                      </tbody>
                    </tgroup>
                  </table>
                </paratext>
              </para>
              <drafting.note id="a644175" jurisdiction="">
                <head align="left" preservecase="true">
                  <headtext>Our goodwill guarantee</headtext>
                </head>
                <division id="a785672" level="1">
                  <head align="left" preservecase="true">
                    <headtext>Adding a guarantee</headtext>
                  </head>
                  <para>
                    <paratext>The trader may want to supplement the consumer's legal rights with its own guarantee.</paratext>
                  </para>
                  <para>
                    <paratext>Whatever guarantee is offered the trader must examine it carefully to ensure that it offers more than the consumer is entitled to under statute. The CMA Unfair terms guidance indicates that:</paratext>
                  </para>
                  <list type="bulleted">
                    <list.item>
                      <para>
                        <paratext>A guarantee which offers more restricted rights may be challenged as unfair because it is likely to mislead consumers into assuming that it represents the full extent of their rights and cause them to refrain from exercising their statutory rights.</paratext>
                      </para>
                    </list.item>
                    <list.item>
                      <para>
                        <paratext>There is no objection to guarantees or warranties that simply enlarge the scope of the consumer's ordinary legal rights, for example, by offering refunds or exchanges on a no-fault basis, or offering repairs regardless of the cause of the problem.</paratext>
                      </para>
                    </list.item>
                    <list.item>
                      <para>
                        <paratext>Guarantees or warranties that offer more limited rights than are available under the law, either because the benefits are fewer, or because their availability is made subject to special conditions or restrictions, are highly likely to be unfair and banned.</paratext>
                      </para>
                    </list.item>
                  </list>
                  <para>
                    <paratext>
                      (
                      <ital>paragraph 5.11, CMA Unfair contract terms guidance.</ital>
                      )
                    </paratext>
                  </para>
                  <para>
                    <paratext>
                      For information on a consumer's statutory rights in respect of goods, services and digital content, see Practice notes, 
                      <link href="w-022-3547" style="ACTLinkPLCtoPLC">
                        <ital>Consumer contracts: selling goods</ital>
                      </link>
                      , 
                      <link href="w-023-1479" style="ACTLinkPLCtoPLC">
                        <ital>Consumer contracts: supplying services</ital>
                      </link>
                       and 
                      <link href="w-023-1455" style="ACTLinkPLCtoPLC">
                        <ital>Consumer contracts: supplying digital content</ital>
                      </link>
                      . For more information on guarantees generally, see 
                      <link anchor="a328799" href="w-022-5839" style="ACTLinkPLCtoPLC">
                        <ital>Practice note, Consumer contracts: common terms and conditions: Guarantees</ital>
                      </link>
                      .
                    </paratext>
                  </para>
                  <division id="a110272" level="2">
                    <head align="left" preservecase="true">
                      <headtext>Proposed guarantee drafting</headtext>
                    </head>
                    <para>
                      <paratext>This provision expands on the consumer's right to cancel under the CCRs in the ways stated (the cancellation period would need to be more than 14 days). In all other respects (for example, products excluded from the right to cancel) the consumer's rights are as per the CCRs.</paratext>
                    </para>
                    <para>
                      <paratext>The square bracketed wording referring to the different sales methods which attract cancellation rights can be omitted if the terms are not used for on-premises (in-store) sales (because in this situation all sales will attract cancellation rights). If different sales methods are referred to, omit references to any methods which the trader does not actually use.</paratext>
                    </para>
                    <para>
                      <paratext>
                        The CRA (
                        <ital>section 30(5)</ital>
                        ) requires that the following are "set out in" a guarantee for goods:
                      </paratext>
                    </para>
                    <list type="bulleted">
                      <list.item>
                        <para>
                          <paratext>The name and address of the guarantor.</paratext>
                        </para>
                      </list.item>
                      <list.item>
                        <para>
                          <paratext>The duration and territorial scope of the guarantee.</paratext>
                        </para>
                      </list.item>
                    </list>
                    <para>
                      <paratext>While arguably the first requirement could be met by the provision of the trader's details elsewhere, for example on the trader's website or in a brochure, their inclusion here puts compliance beyond doubt.</paratext>
                    </para>
                    <para>
                      <paratext>The other requirements which the CRA imposes in respect of guarantees are that they should:</paratext>
                    </para>
                    <list type="bulleted">
                      <list.item>
                        <para>
                          <paratext>Set out in plain and intelligible language the contents of the guarantee and the essential particulars for making claims under the guarantee.</paratext>
                        </para>
                      </list.item>
                      <list.item>
                        <para>
                          <paratext>State that the consumer has statutory rights in relation to the goods and that those rights are not affected by the guarantee.</paratext>
                        </para>
                      </list.item>
                      <list.item>
                        <para>
                          <paratext>If the goods are offered within the territory of the United Kingdom, be written in English.</paratext>
                        </para>
                      </list.item>
                    </list>
                    <para>
                      <paratext>The proposed goodwill guarantee drafting reflects these requirements.</paratext>
                    </para>
                    <para>
                      <paratext>
                        While the CRA only specifically imposes these requirements in respect of guarantees for goods, other statutory provisions effectively impose most of the same requirements in respect of any guarantee for services or digital content. See 
                        <link anchor="a226347" href="w-022-5839" style="ACTLinkPLCtoPLC">
                          <ital>Practice note, Consumer contracts: common terms and conditions: What rules govern guarantees?</ital>
                        </link>
                        .
                      </paratext>
                    </para>
                    <para>
                      <paratext>
                        If the trader wishes to offer more generous terms only in respect of a narrower range of products or subject to certain conditions, any such restrictions should be reviewed against the unfair terms provisions in Part 2 of the CRA. For example, the trader should avoid reserving any discretion to itself as to whether the guarantee applies (
                        <ital>paragraph 5.36, CMA Unfair terms guidance</ital>
                        ) and also making claims subject to compliance with formalities (
                        <ital>paragraph 17, Schedule 2, CRA and paragraph 5.26, CMA Unfair terms guidance</ital>
                        ). For more information on the fairness requirement, see 
                        <link href="w-022-6157" style="ACTLinkPLCtoPLC">
                          <ital>Practice note, Consumer contracts: unfair terms and transparency</ital>
                        </link>
                        .
                      </paratext>
                    </para>
                  </division>
                  <division id="a784584" level="2">
                    <head align="left" preservecase="true">
                      <headtext>What if I leave out the information about the guarantee?</headtext>
                    </head>
                    <para>
                      <paratext>
                        There is no requirement to give the consumer any rights in addition to their statutory rights. If a guarantee is provided the trader must provide certain information about it, but this information is best included in marketing and during the consumer journey, rather than (or as well as) in the terms. Any guarantee given will be binding on the trader, whether or not it is included in the terms, see 
                        <link anchor="a226347" href="w-022-5839" style="ACTLinkPLCtoPLC">
                          <ital>Practice note, Consumer contracts: common terms and conditions: What rules govern guarantees?</ital>
                        </link>
                        .
                      </paratext>
                    </para>
                    <para>
                      <paratext>However, if the trader opts to set out information about the cancellation rights in the terms, then information about any additional rights available under the guarantee should be included to avoid consumer confusion.</paratext>
                    </para>
                  </division>
                </division>
              </drafting.note>
            </subclause1>
            <subclause1 id="a380785">
              <para>
                <paratext>
                  <bold>When you can't change your mind</bold>
                  . You can't change your mind about an order for:
                </paratext>
              </para>
              <list type="bulleted">
                <list.item>
                  <para>
                    <paratext>digital products, after you have started to download or stream these;</paratext>
                  </para>
                </list.item>
                <list.item>
                  <para>
                    <paratext>services, once these have been completed;</paratext>
                  </para>
                </list.item>
                <list.item>
                  <para>
                    <paratext>products sealed for health protection or hygiene purposes, once these have been unsealed after you receive them;</paratext>
                  </para>
                </list.item>
                <list.item>
                  <para>
                    <paratext>sealed audio or sealed video recordings or sealed computer software, once these products are unsealed after you receive them;</paratext>
                  </para>
                </list.item>
                <list.item>
                  <para>
                    <paratext>goods that are made to your specifications or are clearly personalised; and</paratext>
                  </para>
                </list.item>
                <list.item>
                  <para>
                    <paratext>goods which become mixed inseparably with other items after their delivery.</paratext>
                  </para>
                </list.item>
              </list>
              <drafting.note id="a372032" jurisdiction="">
                <head align="left" preservecase="true">
                  <headtext>When you can't change your mind</headtext>
                </head>
                <division id="a000018" level="1">
                  <para>
                    <paratext>
                      Under the CCRs, there are various products about which the consumer has no right to change their mind. That there is no right to cancel for these products or how a cancellation right may be lost is part of the information that must be provided to consumers pre-contract. See the method-of-sale specific practice notes linked to from 
                      <internal.reference refid="a294367">Drafting note, Checklist of information to be provided to consumers pre-contract</internal.reference>
                       for recommendations on how to present the information.
                    </paratext>
                  </para>
                  <para>
                    <paratext>
                      There has been a (non-binding) indication from the European courts that the information should be made clear in relation to the specific product purchased, rather than for categories of product (
                      <link href="D-104-6203" style="ACTLinkPLCtoPLC">
                        <ital>slewo v Sascha Ledowski (C-681/17) EU:C:2018:1041</ital>
                      </link>
                      ).
                    </paratext>
                  </para>
                  <para>
                    <paratext>For more information on the exceptions to cancellation:</paratext>
                  </para>
                  <list type="bulleted">
                    <list.item>
                      <para>
                        <paratext>
                          For digital products, see 
                          <link anchor="a82881" href="w-022-4906" style="ACTLinkPLCtoPLC">
                            <ital>Practice note, Consumer contracts: right to cancel and costs of return: Supply of digital content not on a tangible medium in the cancellation period</ital>
                          </link>
                          . The exception only applies if the consumer has expressly requested supply during the cancellation period and acknowledged that their cancellation rights will be lost once the supply starts. For a suggested form of request and acknowledgement for online sales, see 
                          <link anchor="a600335" href="w-021-9711" style="ACTLinkPLCtoPLC">
                            <ital>Practice note, Consumer contracts: online selling: Consumer consent and acknowledgement regarding immediate provision of digital content (regulation 37)</ital>
                          </link>
                          . For a suggested format for other methods of sale, see the method-of-sale-specific practice notes linked to from 
                          <internal.reference refid="a294367">Drafting note, Checklist of information to be provided to consumers pre-contract</internal.reference>
                          .
                        </paratext>
                      </para>
                    </list.item>
                    <list.item>
                      <para>
                        <paratext>
                          For completed services, see 
                          <link anchor="a111265" href="w-022-4906" style="ACTLinkPLCtoPLC">
                            <ital>Practice note, Consumer contracts: right to cancel and costs of return: Supply of a service in the cancellation period</ital>
                          </link>
                          . The exception only applies if the consumer has expressly requested supply during the cancellation period and acknowledged that their cancellation rights will be lost once the service has been fully performed. For a suggested form of request and acknowledgement for online sales, see 
                          <link anchor="a245599" href="w-021-9711" style="ACTLinkPLCtoPLC">
                            <ital>Practice note, Consumer contracts: online selling: Consumer request and acknowledgement regarding immediate provision of the services (regulation 36)</ital>
                          </link>
                          . For a suggested format for other methods of sale, see the method-of-sale-specific practice notes linked to from 
                          <internal.reference refid="a294367">Drafting note, Checklist of information to be provided to consumers pre-contract</internal.reference>
                          .
                        </paratext>
                      </para>
                    </list.item>
                    <list.item>
                      <para>
                        <paratext>
                          For products sealed for health protection or hygiene purposes, see 
                          <link anchor="a428599" href="w-022-3748" style="ACTLinkPLCtoPLC">
                            <ital>Practice note, Consumer contracts: which rules apply?: Goods sealed for health protection or hygiene reasons</ital>
                          </link>
                          .
                        </paratext>
                      </para>
                    </list.item>
                    <list.item>
                      <para>
                        <paratext>
                          For sealed audio or sealed video recordings or sealed computer software, see 
                          <link anchor="a723740" href="w-022-3748" style="ACTLinkPLCtoPLC">
                            <ital>Practice note, Consumer contracts: which rules apply?: Sealed audio or sealed video recordings or sealed computer software</ital>
                          </link>
                          .
                        </paratext>
                      </para>
                    </list.item>
                    <list.item>
                      <para>
                        <paratext>
                          For customised and personalised goods, see 
                          <link anchor="a765369" href="w-022-3748" style="ACTLinkPLCtoPLC">
                            <ital>Practice note, Consumer contracts: which rules apply?: Customised, bespoke or personalised goods</ital>
                          </link>
                          .
                        </paratext>
                      </para>
                    </list.item>
                    <list.item>
                      <para>
                        <paratext>
                          For goods which become inseparably mixed, see 
                          <link anchor="a657034" href="w-022-3748" style="ACTLinkPLCtoPLC">
                            <ital>Practice note, Consumer contracts: which rules apply?: Goods which have become mixed inseparably with other items after delivery</ital>
                          </link>
                          .
                        </paratext>
                      </para>
                    </list.item>
                  </list>
                  <para>
                    <paratext>
                      The above bullet points list the most common categories of excepted products, but there are others and certain categories of product are wholly out of scope for the CCRs, so that neither the cancellation rights nor the information obligations apply in respect of them. To check whether a particular product falls within an exception, see 
                      <link anchor="a892752" href="w-022-3748" style="ACTLinkPLCtoPLC">
                        <ital>Practice note, Consumer contracts: which rules apply?: Do any exclusions under the CRA or CCRs apply because of what is being sold or supplied?</ital>
                      </link>
                       and, in the same note, 
                      <link anchor="a323011" href="w-022-3748" style="ACTLinkPLCtoPLC">
                        <ital>Do any exclusions under the CRA or CCRs apply because of how the product has been treated after purchase</ital>
                      </link>
                      . In addition, the way contracts are formed can bring them outside the scope of the CCRs, see, in the same note, 
                      <link anchor="a991608" href="w-022-3748" style="ACTLinkPLCtoPLC">
                        <ital>Do any exclusions under the CRA or CCRs apply because of how the contract was formed?</ital>
                      </link>
                      .
                    </paratext>
                  </para>
                  <para>
                    <paratext>Only list those exceptions which are relevant to the products being sold.</paratext>
                  </para>
                  <para>
                    <paratext>
                      See also 
                      <internal.reference refid="a200782">Drafting note, What if I leave out the information about cancellation rights?</internal.reference>
                      <ital>.</ital>
                    </paratext>
                  </para>
                </division>
              </drafting.note>
            </subclause1>
            <subclause1 id="a940009">
              <para>
                <paratext>
                  <bold>The deadline for changing your mind</bold>
                  . If you change your mind about a product you must let us know no later than [14 
                  <bold>OR</bold>
                   [NUMBER IN EXCESS OF 14]] days after:
                </paratext>
              </para>
              <list type="bulleted">
                <list.item>
                  <para>
                    <paratext>
                      the day we deliver your product, if it is 
                      <bold>goods</bold>
                      , for example a [EXAMPLE]. If the goods are for regular delivery (for example, a subscription), you can only change your mind after the first delivery. If the goods are split into several deliveries over different days, the period runs from the day after the last delivery.
                    </paratext>
                  </para>
                </list.item>
                <list.item>
                  <para>
                    <paratext>
                      the day we confirm we have accepted your order, if it is for a 
                      <bold>service</bold>
                      , for example [EXAMPLE].
                    </paratext>
                  </para>
                </list.item>
                <list.item>
                  <para>
                    <paratext>
                      the day we confirm we have accepted your order, if it is for 
                      <bold>digital content for download or streaming </bold>
                      (for example, [EXAMPLE]), although you can't change your mind about digital content once we have started providing it.
                    </paratext>
                  </para>
                </list.item>
              </list>
              <drafting.note id="a863857" jurisdiction="">
                <head align="left" preservecase="true">
                  <headtext>The deadline for changing your mind</headtext>
                </head>
                <division id="a000019" level="1">
                  <para>
                    <paratext>
                      For information on how deadlines are calculated, see 
                      <link anchor="a1040828" href="w-022-4906" style="ACTLinkPLCtoPLC">
                        <ital>Practice note, Consumer contracts: right to cancel and costs of return: What is the normal cancellation period?</ital>
                      </link>
                      .
                    </paratext>
                  </para>
                  <para>
                    <paratext>
                      If order acceptance (and contract conclusion) for services or digital content is deferred, for example, until dispatch (see 
                      <internal.reference refid="a498535">Drafting note, Order acceptance on dispatch</internal.reference>
                      ), then the cancellation period will run from that deferred date.
                    </paratext>
                  </para>
                  <para>
                    <paratext>
                      See also 
                      <internal.reference refid="a200782">Drafting note, What if I leave out the information about cancellation rights?</internal.reference>
                    </paratext>
                  </para>
                </division>
              </drafting.note>
            </subclause1>
            <subclause1 id="a577792">
              <para>
                <paratext>
                  <bold>How to let us know</bold>
                  . To let us know you want to change your mind, contact our Customer Service Team: [LINK TO OR WEBSITE ADDRESS FOR CUSTOMER SERVICE TEAM PAGE OR TELEPHONE NUMBER FOR TEAM][, fill in the online form [at [LINK TO, OR WEB ADDRESS OF, ONLINE CANCELLATION FORM] [or fill in [the paper copy in our brochure] [or] [a print-out] and post it to us at [ADDRESS]].
                </paratext>
              </para>
              <drafting.note id="a311768" jurisdiction="">
                <head align="left" preservecase="true">
                  <headtext>How to let us know</headtext>
                </head>
                <division id="a000020" level="1">
                  <division id="a956778" level="2">
                    <head align="left" preservecase="true">
                      <headtext>Methods available to the consumer</headtext>
                    </head>
                    <para>
                      <paratext>
                        To cancel the contract, the consumer can either use the model cancellation form which the trader is obliged to make available to the consumer pre-contract or give any other clear statement setting out their decision. For more information, see 
                        <link anchor="a157676" href="w-022-4906" style="ACTLinkPLCtoPLC">
                          <ital>Practice note, Consumer contracts: right to cancel and costs of return: How can a consumer cancel or withdraw?</ital>
                        </link>
                      </paratext>
                    </para>
                    <para>
                      <paratext>The model cancellation form is part of the mandatory pre-contract information required under the CCRs. For information on how to provide it:</paratext>
                    </para>
                    <list type="bulleted">
                      <list.item>
                        <para>
                          <paratext>
                            For 
                            <bold>online</bold>
                             sales: 
                            <link anchor="a821944" href="w-021-9711" style="ACTLinkPLCtoPLC">
                              <ital>Practice note, Consumer contracts: online selling: Model cancellation form (regulation 13(1)(b) and Schedule 3)</ital>
                            </link>
                            .
                          </paratext>
                        </para>
                      </list.item>
                      <list.item>
                        <para>
                          <paratext>
                            For 
                            <bold>telephone, mail order and other (non-online) distance </bold>
                            sales: 
                            <link anchor="a821944" href="w-022-9740" style="ACTLinkPLCtoPLC">
                              <ital>Practice note, Consumer contracts: telephone and other (non-online) distance selling: Model cancellation form (regulation 13(1)(b) and Schedule 3)</ital>
                            </link>
                            .
                          </paratext>
                        </para>
                      </list.item>
                      <list.item>
                        <para>
                          <paratext>
                            For 
                            <bold>off-premises (doorstep)</bold>
                             sales: 
                            <link anchor="a821944" href="w-022-9951" style="ACTLinkPLCtoPLC">
                              <ital>Practice note, Consumer contracts: doorstep and other off-premises selling: Model cancellation form (regulation 10(1)(b) and Schedule 3)</ital>
                            </link>
                            .
                          </paratext>
                        </para>
                      </list.item>
                    </list>
                    <para>
                      <paratext>
                        The information could be customised for the particular product. For the standard form, see 
                        <link href="9-576-2607" style="ACTLinkPLCtoPLC">
                          <ital>Standard document, Consumer Contracts Regulations 2013: model cancellation form</ital>
                        </link>
                        .
                      </paratext>
                    </para>
                  </division>
                  <division id="a887662" level="2">
                    <head align="left" preservecase="true">
                      <headtext>Trader to acknowledge online cancellations</headtext>
                    </head>
                    <para>
                      <paratext>If the consumer is exercising the right to cancel under the CCRs by filling in a form on the trader's website, the trader must send an acknowledgement on a durable medium (such as an email) without undue delay.</paratext>
                    </para>
                    <para>
                      <paratext>
                        See also 
                        <internal.reference refid="a200782">Drafting note, What if I leave out the information about cancellation rights?</internal.reference>
                      </paratext>
                    </para>
                  </division>
                </division>
              </drafting.note>
            </subclause1>
            <subclause1 id="a989261">
              <para>
                <paratext>
                  <bold>You have to return the product at your own cost</bold>
                  . If your product is goods, for example, a [EXAMPLE], you have to return it [(and any free gifts provided with it)] to us within 14 days of your telling us you have changed your mind. [Returns are at your own cost[, unless we offered free returns when you bought the goods] 
                  <bold>OR</bold>
                   Returns are free, as part of our goodwill guarantee]. You can:
                </paratext>
              </para>
              <list type="bulleted">
                <list.item>
                  <para>
                    <paratext>
                      bring the product to one of our stores (find the one nearest to you [at: [LINK TO OR WEBSITE LIST OF STORES 
                      <bold>OR</bold>
                       by contacting our Customer Service Team: [LINK TO OR WEBSITE ADDRESS FOR CUSTOMER SERVICE TEAM PAGE OR TELEPHONE NUMBER FOR TEAM]). You will need your email receipt and the card you paid with.
                    </paratext>
                  </para>
                </list.item>
                <list.item>
                  <para>
                    <paratext>send the product back to us[, using an established delivery service]. You should keep a receipt or other evidence from the delivery service that proves you have sent the product and when you sent it. If you don’t do this and we don’t receive the goods at all or within a reasonable time we won't refund you the price. For help with returns, including [creating return labels and] our collection arrangements for goods which can't be posted, see our Returns Process: [LINK TO OR WEBSITE ADDRESS FOR PAGE WITH RETURNS PROCESS] [as set out on page [ ] of our brochure] [or contact our Customer Service Team: [LINK TO OR WEBSITE ADDRESS FOR CUSTOMER SERVICE TEAM PAGE OR TELEPHONE NUMBER FOR TEAM].</paratext>
                  </para>
                </list.item>
              </list>
              <drafting.note id="a813384" jurisdiction="">
                <head align="left" preservecase="true">
                  <headtext>You have to return the product at your own cost</headtext>
                </head>
                <division id="a000021" level="1">
                  <division id="a738135" level="2">
                    <head align="left" preservecase="true">
                      <headtext>Pre-contract information about the obligation to pay return costs</headtext>
                    </head>
                    <para>
                      <paratext>
                        The trader must inform the consumer about their obligation to pay return costs as part of the pre-contract information. See, for example in relation to online sales, 
                        <link anchor="a100295" href="w-021-9711" style="ACTLinkPLCtoPLC">
                          <ital>Practice note, Consumer contracts: online selling: Consumer's obligation to pay for return of goods (paragraph (m), Schedule 2)</ital>
                        </link>
                        . For presentation suggestions for other methods of sale, see the method-of-sale-specific practice notes linked to from 
                        <internal.reference refid="a294367">Drafting note, Checklist of information to be provided to consumers pre-contract</internal.reference>
                        .
                      </paratext>
                    </para>
                    <division id="a620709" level="3">
                      <head align="left" preservecase="true">
                        <headtext>Free returns</headtext>
                      </head>
                      <para>
                        <paratext>
                          The first option in the square bracketed wording around costs of returns provides for the consumer to pay for them, unless there has been a promotion offering "free returns". The second option provides that all returns are free, as part of the goodwill guarantee (see 
                          <internal.reference refid="a110272">Drafting note, Proposed guarantee drafting</internal.reference>
                          ). In relation to any commitment to free returns, the trader should set out any limitations on it, for example, if it only applies to returns from the UK. For guidance on how to refer to parts of the UK, see the 
                          <link href="https://www.businesscompanion.info/en/quick-guides/goods/delivery-charges" style="ACTLinkURL">
                            <ital>BEIS: Guidance: Delivery charges</ital>
                          </link>
                          .
                        </paratext>
                      </para>
                    </division>
                    <division id="a908176" level="3">
                      <head align="left" preservecase="true">
                        <headtext>Address for returns</headtext>
                      </head>
                      <para>
                        <paratext>A trader should make sure to provide an address for returns; if this is not done the consumer is free to return items to the trader's contact address (or, if none is given, any place of business of the trader), which may not be convenient.  Many traders opt to provide a returns label with the product as delivered or to allow consumers to create a returns label online.</paratext>
                      </para>
                    </division>
                    <division id="a678273" level="3">
                      <head align="left" preservecase="true">
                        <headtext>Obligation to return free gifts</headtext>
                      </head>
                      <para>
                        <paratext>The wording about returning free gifts is optional; the trader may not want to have free gifts returned to it, for example if they were given as a way of disposing of unwanted product.</paratext>
                      </para>
                    </division>
                    <division id="a312466" level="3">
                      <head align="left" preservecase="true">
                        <headtext>Implications of insisting on collecting</headtext>
                      </head>
                      <para>
                        <paratext>
                          If the trader insists on collecting goods from the consumer (allowing no other options for return), it must bear the costs of collection (
                          <ital>regulation 35(1), CCRs and para 6.4.2, Commission CRD Guidanc</ital>
                          e). However, if, as per the drafting suggested here, the trader is merely offering to collect and other return routes are available, then the consumer can be required to bear the costs.
                        </paratext>
                      </para>
                      <para>
                        <paratext>It is not clear whether a trader is also liable for the costs of return if it insists on the consumer using its selected courier that does not collect. In practice if a trader suggests the use of a one or more commonly used and competitively priced delivery services, the majority of consumers are likely to agree to this and it will be unnecessary for the trader to ban other methods of return.</paratext>
                      </para>
                      <para>
                        <paratext>
                          Where the trader is collecting, it can only charge the consumer the direct costs of collection (see 
                          <link anchor="a377281" href="w-022-4906" style="ACTLinkPLCtoPLC">
                            <ital>Practice note, Consumer contracts: right to cancel and costs of return: Costs of collection</ital>
                          </link>
                          ).
                        </paratext>
                      </para>
                    </division>
                    <division id="a251250" level="3">
                      <head align="left" preservecase="true">
                        <headtext>Requirements for returns in-store</headtext>
                      </head>
                      <para>
                        <paratext>
                          The requirement that the consumer provide an email receipt and the card they paid with to receive a refund in-store is not envisaged in the CCRs. While terms which make the exercise of legal rights difficult are at risk of being unfair (
                          <ital>see paragraph 17, Schedule 2, CRA and paragraph 5.25, CMA Unfair terms guidance</ital>
                          ), we consider these requirements to be reasonable, particularly as under the CCRs the obligation is to refund the consumer using the method used for payment, unless otherwise agreed (
                          <ital>regulation 34(7), CCRs</ital>
                          ).
                        </paratext>
                      </para>
                    </division>
                    <division id="a596738" level="3">
                      <head align="left" preservecase="true">
                        <headtext>Requirements when goods are sent back</headtext>
                      </head>
                      <para>
                        <paratext>
                          The trader must refund the consumer on receipt of the returned goods or, if earlier, on receipt of evidence of them having been sent back, see 
                          <internal.reference refid="a864268">Drafting note, When and how we refund you</internal.reference>
                          . The Commission CRD Guidance indicates that "evidence" should be understood as a written statement from an established transport or postal service provider specifying the sender and the recipient.
                        </paratext>
                      </para>
                      <para>
                        <paratext>While there is no express requirement in the CCRs that consumers obtain proof that the goods have been sent back, it seems open to the trader to refuse a refund where it has received neither the goods nor evidence of their having been sent.</paratext>
                      </para>
                      <para>
                        <paratext>If the trader intends to do this, then, to mitigate the risk that a consumer whose return is lost in transit will be unfairly prejudiced, the trader should flag its approach in its returns policy, as provided to the consumer both pre- and post-purchase. The optional reference to an established delivery service could be used where the trader considers there is a risk that unreputable services may be used, particularly where it is not recommending particular services.</paratext>
                      </para>
                      <para>
                        <paratext>
                          For more on this aspect of returns, and on requiring that return deliveries must be insured, see 
                          <link anchor="a755133" href="w-022-4906" style="ACTLinkPLCtoPLC">
                            <ital>Practice note, Consumer contracts: right to cancel and costs of return: What if the trader never receives the goods or receives them late?</ital>
                          </link>
                        </paratext>
                      </para>
                      <para>
                        <paratext>
                          For more about the return of goods where the consumer cancels under the CCRs generally, see 
                          <link anchor="a460447" href="w-022-4906" style="ACTLinkPLCtoPLC">
                            <ital>Practice note, Consumer contracts: right to cancel and costs of return: Return of goods on cancellation</ital>
                          </link>
                          .
                        </paratext>
                      </para>
                      <para>
                        <paratext>
                          See also 
                          <internal.reference refid="a200782">Drafting note, What if I leave out the information about cancellation rights?</internal.reference>
                        </paratext>
                      </para>
                    </division>
                  </division>
                </division>
              </drafting.note>
            </subclause1>
            <subclause1 id="a398470">
              <para>
                <paratext>
                  <bold>We only refund standard delivery costs</bold>
                  . We don't refund any extra you have paid for express delivery or delivery at a particular time.
                </paratext>
              </para>
              <drafting.note id="a970725" jurisdiction="">
                <head align="left" preservecase="true">
                  <headtext>We only refund standard delivery costs</headtext>
                </head>
                <division id="a000022" level="1">
                  <para>
                    <paratext>
                      Where the trader offers a range of delivery methods the trader need only refund what the consumer would have paid for the least expensive common and generally acceptable kind of delivery offered by the trader. Any amounts in excess of this which were paid by a consumer for an enhanced delivery service may be retained by the trader (
                      <ital>regulations 34(1), (2) and (3), CCRs</ital>
                      ).
                    </paratext>
                  </para>
                  <para>
                    <paratext>
                      See also 
                      <internal.reference refid="a200782">Drafting note, What if I leave out the information about cancellation rights?</internal.reference>
                    </paratext>
                  </para>
                </division>
              </drafting.note>
            </subclause1>
            <subclause1 id="a354390">
              <para>
                <paratext>
                  <bold>You have to pay for services you received before you change your mind</bold>
                  . If you bought a service (such as [EXAMPLE]) we don't refund you for the time you were receiving it before you told us you'd changed your mind.
                </paratext>
              </para>
              <drafting.note id="a704408" jurisdiction="">
                <head align="left" preservecase="true">
                  <headtext>You have to pay for services you received before you change your mind</headtext>
                </head>
                <division id="a000023" level="1">
                  <para>
                    <paratext>
                      Traders can charge consumers for services received before cancellation provided that the consumer expressly requested the supply of the service during the cancellation period and was informed both about their right to cancel and about having to pay for services received up to cancellation. See 
                      <link anchor="a111265" href="w-022-4906" style="ACTLinkPLCtoPLC">
                        <ital>Practice note, Consumer contracts: right to cancel and costs of return: Supply of a service in the cancellation period</ital>
                      </link>
                      . For a suggested form of request for online sales, see 
                      <link anchor="a245599" href="w-021-9711" style="ACTLinkPLCtoPLC">
                        <ital>Practice note, Consumer contracts: online selling: Consumer request and acknowledgement regarding immediate provision of the services (regulation 36)</ital>
                      </link>
                      . For a suggested format for other methods of sale, see the method-of-sale-specific practice notes linked to from 
                      <internal.reference refid="a294367">Drafting note, Checklist of information to be provided to consumers pre-contract</internal.reference>
                      .
                    </paratext>
                  </para>
                  <para>
                    <paratext>
                      The CCRs do not expressly permit the trader to set off the sums due to it for services provided against the refund. Indeed, they state that the trader must reimburse the full price (
                      <ital>regulation 34, CCRs</ital>
                      ). However, setting off sums payable for services does not seem unreasonable.
                    </paratext>
                  </para>
                  <para>
                    <paratext>
                      See also 
                      <internal.reference refid="a200782">Drafting note, What if I leave out the information about cancellation rights?</internal.reference>
                    </paratext>
                  </para>
                </division>
              </drafting.note>
            </subclause1>
            <subclause1 id="a519155">
              <para>
                <paratext>
                  <bold>We reduce your refund if you have used or damaged a product</bold>
                  . If you handle the product in a way which would not be acceptable in-store, we reduce your refund, to compensate us for its reduced value. For example, we reduce your refund if the product's condition is not "as new", price tags have been removed, the [product-branded] packaging is damaged or accessories are missing. In some cases, because of the way you have treated the product, no refund may be due. [Our Customer Service Team: [LINK TO OR WEBSITE ADDRESS FOR CUSTOMER SERVICE TEAM PAGE OR TELEPHONE NUMBER FOR TEAM] can advise you on whether we're likely to reduce your refund.]
                </paratext>
              </para>
              <drafting.note id="a234213" jurisdiction="">
                <head align="left" preservecase="true">
                  <headtext>We reduce your refund if you have used or damaged a product</headtext>
                </head>
                <division id="a000024" level="1">
                  <para>
                    <paratext>
                      For information about the trader's right to reduce refunds in respect of used and damaged goods, see 
                      <link anchor="a471324" href="w-022-4906" style="ACTLinkPLCtoPLC">
                        <ital>Practice note, Consumer contracts: right to cancel and costs of return: Deduction for use</ital>
                      </link>
                      .
                    </paratext>
                  </para>
                  <para>
                    <paratext>Traders may want to give examples of unacceptable use which are particularly relevant to the specific products they are selling.</paratext>
                  </para>
                  <para>
                    <paratext>Recital 47 to the CRD is clear that although the reduction may be up to the purchase price, the right to cancel cannot be lost. For this reason, care should be taken to avoid stating that there is no right to cancel unless the goods can be re-sold "as new".</paratext>
                  </para>
                  <para>
                    <paratext>The BIS CCRs Guidance suggests that a trader could not reduce a refund to reflect damage to outer non-branded packaging, such as a brown box and bubble wrap, but might be able to do so if the branded packaging was damaged.</paratext>
                  </para>
                  <para>
                    <paratext>
                      Where goods sealed for health protection or hygiene purposes have been unsealed no cancellation rights apply, see 
                      <internal.reference refid="a372032">Drafting note, When you can't change your mind</internal.reference>
                      .
                    </paratext>
                  </para>
                  <para>
                    <paratext>The square bracketed wording at the end about contacting consumer services for advice on any possible reduction is a suggestion which might help avoid a situation where a consumer incurs the costs and effort of returning goods only to receive a reduced refund or no refund at all; in such a situation the consumer may prefer to keep the goods.</paratext>
                  </para>
                  <para>
                    <paratext>
                      See also 
                      <internal.reference refid="a200782">Drafting note, What if I leave out the information about cancellation rights?</internal.reference>
                    </paratext>
                  </para>
                </division>
              </drafting.note>
            </subclause1>
            <subclause1 id="a284733">
              <para>
                <paratext>
                  <bold>When and how we refund you</bold>
                  . If your product is a service, digital content or goods that haven't been delivered or that we're collecting from you, we refund you as soon as possible and within 14 days of you telling us you've changed your mind. If your product is goods that you're sending back to us, we refund you within 14 days of receiving them back from you (or receiving evidence you've sent them to us). We refund you by the method you used for payment. We don't charge a fee for the refund.
                </paratext>
              </para>
              <drafting.note id="a864268" jurisdiction="">
                <head align="left" preservecase="true">
                  <headtext>When and how we refund you</headtext>
                </head>
                <division id="a000025" level="1">
                  <para>
                    <paratext>
                      This term reflects the rules in the CCRs on the timing of refunds. For more information, see 
                      <link anchor="a296378" href="w-022-4906" style="ACTLinkPLCtoPLC">
                        <ital>Practice note, Consumer contracts: right to cancel and costs of return: When must it be refunded?</ital>
                      </link>
                    </paratext>
                  </para>
                  <para>
                    <paratext>
                      See also 
                      <internal.reference refid="a200782">Drafting note, What if I leave out the information about cancellation rights?</internal.reference>
                    </paratext>
                  </para>
                </division>
              </drafting.note>
            </subclause1>
          </clause>
          <clause id="a380822" numbering="none">
            <head align="left" preservecase="true">
              <headtext>You can end an on-going contract (find out how)</headtext>
            </head>
            <subclause1 id="a898799">
              <para>
                <paratext>We tell you when and how you can end an on-going contract with us (for example, for regular services or a subscription to digital content or goods) during the order process and we confirm this information to you in writing after we've accepted your order. If you have any questions, please contact our Customer Service Team: [LINK TO OR WEBSITE ADDRESS FOR CUSTOMER SERVICE TEAM PAGE OR TELEPHONE NUMBER FOR TEAM].</paratext>
              </para>
              <drafting.note id="a546004" jurisdiction="">
                <head align="left" preservecase="true">
                  <headtext>You can end an on-going contract (find out how)</headtext>
                </head>
                <division id="a000026" level="1">
                  <division id="a597486" level="2">
                    <head align="left" preservecase="true">
                      <headtext>Pre-contract information about duration and how to terminate</headtext>
                    </head>
                    <para>
                      <paratext>
                        The consumer must be informed pre-contract of the duration of the contract, where applicable, or, if the contract is of indeterminate duration or is to be extended automatically, the conditions for terminating the contract, see, for example, in relation to online sales, 
                        <link anchor="a340532" href="w-021-9711" style="ACTLinkPLCtoPLC">
                          <ital>Practice note, Consumer contracts: online selling: Contract duration and conditions for terminating (paragraph (s), Schedule 2)</ital>
                        </link>
                        . For presentation suggestions for other methods of sale, see the method-of-sale-specific practice notes linked to from 
                        <internal.reference refid="a294367">Drafting note, Checklist of information to be provided to consumers pre-contract</internal.reference>
                        .
                      </paratext>
                    </para>
                  </division>
                  <division id="a783408" level="2">
                    <head align="left" preservecase="true">
                      <headtext>What if I leave out the how to end on-going contracts provision?</headtext>
                    </head>
                    <para>
                      <paratext>This provision is an optional pointer to the relevant information as provided during the order process and could be omitted. However, a trader may feel that the terms is somewhere a consumer would look for this information.</paratext>
                    </para>
                  </division>
                  <division id="a487936" level="2">
                    <head align="left" preservecase="true">
                      <headtext>Other issues in relation to duration and renewal</headtext>
                    </head>
                    <para>
                      <paratext>
                        There are several issues to consider in relation to the duration of consumer contracts. See the following sections of 
                        <link href="w-022-5839" style="ACTLinkPLCtoPLC">
                          <ital>Practice note, Consumer contracts: common terms and conditions</ital>
                        </link>
                        :
                      </paratext>
                    </para>
                    <list type="bulleted">
                      <list.item>
                        <para>
                          <paratext>
                            <link anchor="a184109" href="w-022-5839" style="ACTLinkPLCtoPLC">
                              <ital>Auto-renewal of contracts (subscription contracts)</ital>
                            </link>
                            .
                          </paratext>
                        </para>
                      </list.item>
                      <list.item>
                        <para>
                          <paratext>
                            <link anchor="a501537" href="w-022-5839" style="ACTLinkPLCtoPLC">
                              <ital>Tie-in periods</ital>
                            </link>
                            .
                          </paratext>
                        </para>
                      </list.item>
                    </list>
                  </division>
                </division>
              </drafting.note>
            </subclause1>
          </clause>
          <clause id="a156701" numbering="none">
            <head align="left" preservecase="true">
              <headtext>You have rights if there is something wrong with your product</headtext>
            </head>
            <subclause1 id="a105977">
              <para>
                <paratext>
                  <bold>Return the product to us</bold>
                  . If you think there is something wrong with your product, you must [either bring it into one of our stores or] contact our Customer Service Team: [LINK TO OR WEBSITE ADDRESS FOR CUSTOMER SERVICE TEAM PAGE OR TELEPHONE NUMBER FOR TEAM].
                </paratext>
              </para>
              <drafting.note id="a668157" jurisdiction="">
                <head align="left" preservecase="true">
                  <headtext>Return the product to us</headtext>
                </head>
                <division id="a000027" level="1">
                  <para>
                    <paratext>
                      A consumer is only obliged to return defective or misdescribed goods to the trader if the contract says so; otherwise the consumer must simply make the goods available for collection (
                      <ital>section 20(7)(b), CRA</ital>
                      ). Whether the consumer sends the goods back or the trader collects them the trader must pay the costs of return. A term obliging a consumer to return large and bulky goods which cannot be posted may be unfair and in any case it may be cheaper and easier for a trader to collect the goods itself, rather than reimburse the consumer for the costs of a third party carrier selected by the consumer. Where the appropriate remedy is repair, the best option for large items may be for the trader to repair at the consumer's home.
                    </paratext>
                  </para>
                  <para>
                    <paratext>
                      For a discussion, see 
                      <link anchor="a373533" href="w-022-3547" style="ACTLinkPLCtoPLC">
                        <ital>Practice note, Consumer contracts: selling goods: Statutory remedies for defective or mis-described goods</ital>
                      </link>
                      .
                    </paratext>
                  </para>
                  <division id="a163560" level="2">
                    <head align="left" preservecase="true">
                      <headtext>What if I leave out the obligation to return defective products?</headtext>
                    </head>
                    <para>
                      <paratext>This obligation needs to be accepted by the consumer (it is not an implied term the consumer must comply with) and so it should be included in the terms.</paratext>
                    </para>
                  </division>
                </division>
              </drafting.note>
            </subclause1>
            <subclause1 id="a184267">
              <para>
                <paratext>
                  <bold>Your rights and remedies if you are a consumer</bold>
                  . We honour our legal duty to provide you with products that are as described to you on our website and that meet all the requirements imposed by law. [Your legal rights are summarised below. These are subject to certain exceptions. For detailed information please visit the Citizens Advice website www.citizensadvice.org.uk.] Remember too that 
                  <internal.reference refid="a281601">You have several options for resolving disputes with us</internal.reference>
                  .
                </paratext>
              </para>
              <para>
                <paratext>
                  <table frame="all" pgwide="1">
                    <tgroup cols="1">
                      <colspec colname="1" colnum="1" colwidth="100"/>
                      <tbody>
                        <row>
                          <entry valign="top">
                            <para align="left">
                              <paratext>
                                <bold>Summary of your key legal rights </bold>
                              </paratext>
                            </para>
                            <para align="left">
                              <paratext>
                                If your product is
                                <bold> goods</bold>
                                , for example [EXAMPLE], the Consumer Rights Act 2015 says goods must be as described, fit for purpose and of satisfactory quality. During the expected lifespan of your product your legal rights entitle you to the following:
                              </paratext>
                            </para>
                            <para align="left">
                              <paratext>Up to 30 days: if your goods are faulty, then you can get a refund.</paratext>
                            </para>
                            <para align="left">
                              <paratext>Up to six months: if your goods can't be repaired or replaced, then you're entitled to a full refund, in most cases.</paratext>
                            </para>
                            <para align="left">
                              <paratext>Up to six years: if your goods do not last a reasonable length of time you may be entitled to some money back.</paratext>
                            </para>
                            <para align="left">
                              <paratext>
                                If your product is 
                                <bold>digital content</bold>
                                , for example [EXAMPLE], the Consumer Rights Act 2015 says digital content must be as described, fit for purpose and of satisfactory quality:
                              </paratext>
                            </para>
                            <para align="left">
                              <paratext>If your digital content is faulty, you're entitled to a repair or a replacement.</paratext>
                            </para>
                            <para align="left">
                              <paratext>If the fault can't be fixed, or if it hasn't been fixed within a reasonable time and without significant inconvenience, you can get some or all of your money back.</paratext>
                            </para>
                            <para align="left">
                              <paratext>If you can show the fault has damaged your device and we haven't used reasonable care and skill, you may be entitled to a repair or compensation</paratext>
                            </para>
                            <para align="left">
                              <paratext>
                                If your product is 
                                <bold>services</bold>
                                , for example [EXAMPLE], the Consumer Rights Act 2015 says:
                              </paratext>
                            </para>
                            <para align="left">
                              <paratext>You can ask us to repeat or fix a service if it's not carried out with reasonable care and skill, or get some money back if we can't fix it.</paratext>
                            </para>
                            <para align="left">
                              <paratext>If a price hasn't been agreed upfront, what you're asked to pay must be reasonable.</paratext>
                            </para>
                            <para align="left">
                              <paratext>If a time hasn't been agreed upfront, it must be carried out within a reasonable time.</paratext>
                            </para>
                          </entry>
                        </row>
                      </tbody>
                    </tgroup>
                  </table>
                </paratext>
              </para>
              <drafting.note id="a307051" jurisdiction="">
                <head align="left" preservecase="true">
                  <headtext>Your rights if you are a consumer</headtext>
                </head>
                <division id="a000028" level="1">
                  <division id="a403457" level="2">
                    <head align="left" preservecase="true">
                      <headtext>Statement that goods will be in conformance with the contract</headtext>
                    </head>
                    <para>
                      <paratext>
                        The CCRs require the trader to set out its legal duty to provide goods in conformance with the contract (
                        <ital>Schedule 2(p), CCRs</ital>
                        ). As the words "in conformance with the contract" might not be readily understood by a consumer, we have suggested "We honour our legal duty to provide you with products that are as described to you on our website and that meet all the requirements imposed by law."
                      </paratext>
                    </para>
                  </division>
                  <division id="a647443" level="2">
                    <head align="left" preservecase="true">
                      <headtext>What if I leave out the statement about conformance?</headtext>
                    </head>
                    <para>
                      <paratext>
                        The statement need not be made in the terms and only providing it here may be insufficient. For recommendations on how to present it, see the method-of-sale specific practice notes linked to from 
                        <internal.reference refid="a294367">Drafting note, Checklist of information to be provided to consumers pre-contract</internal.reference>
                        . However, a trader may wish to also put the statement in the terms to reassure consumers.
                      </paratext>
                    </para>
                  </division>
                  <division id="a550680" level="2">
                    <head align="left" preservecase="true">
                      <headtext>Statutory requirements to refer to the consumer's rights</headtext>
                    </head>
                    <para>
                      <paratext>Consumer legislation does not require the trader to set out the consumer's statutory remedies for breach of the CRA-implied terms (for example, as to quality, compliance with description, provision of reasonable skill and care), either in the terms or elsewhere.</paratext>
                    </para>
                    <para>
                      <paratext>There are some requirements to refer to the consumer's rights in respect of goods (there are no equivalent requirements for services or digital content):</paratext>
                    </para>
                    <list type="bulleted">
                      <list.item>
                        <para>
                          <paratext>
                            The CCRs require the trader to set out its legal duty to provide goods in conformance with the contract (
                            <ital>Schedule 2(p), CCRs</ital>
                            ). See 
                            <internal.reference refid="a403457">Drafting note, Statement that goods will be in conformance with the contract</internal.reference>
                            .
                          </paratext>
                        </para>
                      </list.item>
                      <list.item>
                        <para>
                          <paratext>
                            The CRA imposes information requirements in respect of guarantees for goods, including a requirement to state that the consumer's statutory rights are not affected by the guarantee (
                            <ital>section 30(4)(b), CRA</ital>
                            ). This information needs to be set out in the guarantee itself, see 
                            <internal.reference refid="a110272">Drafting note, Proposed guarantee drafting</internal.reference>
                            . The CMA Unfair terms guidance recommends that, when offering a guarantee, the trader indicate to consumers the sort of protection they have in law (
                            <ital>paragraph 5.11.5, CMA Unfair terms guidance</ital>
                            ).
                          </paratext>
                        </para>
                      </list.item>
                    </list>
                    <para>
                      <paratext>The CCRs also require the trader to inform the consumer pre-contract about the existence and conditions of any after-sales services and commercial guarantees it offers. A commercial guarantee is defined by reference to goods as:</paratext>
                    </para>
                    <para>
                      <paratext>"any undertaking by the trader or producer to the consumer (in addition to the trader's duty to supply goods that are in conformity with the contract) to reimburse the price paid or to replace, repair or service goods in any way if they do not meet the specifications or any other requirements not related to conformity set out in the guarantee statement or in the relevant advertising available at the time of the contract or before it is entered into".</paratext>
                    </para>
                    <para>
                      <paratext>However, the term "after-sales services" would seem capable of application to services and digital content.</paratext>
                    </para>
                    <para>
                      <paratext>For more information on consumers' statutory and common law rights in respect of products see the following practice notes:</paratext>
                    </para>
                    <list type="bulleted">
                      <list.item>
                        <para>
                          <paratext>
                            <link href="w-022-3547" style="ACTLinkPLCtoPLC">
                              <ital>Consumer contracts: selling goods</ital>
                            </link>
                            <ital>.</ital>
                          </paratext>
                        </para>
                      </list.item>
                      <list.item>
                        <para>
                          <paratext>
                            <link href="w-023-1455" style="ACTLinkPLCtoPLC">
                              <ital>Consumer contracts: supplying digital content</ital>
                            </link>
                            <ital>.</ital>
                          </paratext>
                        </para>
                      </list.item>
                      <list.item>
                        <para>
                          <paratext>
                            <link href="w-023-1479" style="ACTLinkPLCtoPLC">
                              <ital>Consumer contracts: supplying services</ital>
                            </link>
                            <ital>.</ital>
                          </paratext>
                        </para>
                      </list.item>
                    </list>
                    <division id="a677467" level="3">
                      <head align="left" preservecase="true">
                        <headtext>Drafting approach</headtext>
                      </head>
                      <para>
                        <paratext>
                          The boxed wording summarising a consumer's statutory rights is adapted from the point of sale wording suggested by Trading Standards, see 
                          <link href="https://www.businesscompanion.info/sites/default/files/Consumer-rights-summary-E-W.pdf" style="ACTLinkURL">
                            <ital>Business Companion, Consumer Rights Summary</ital>
                          </link>
                          .
                        </paratext>
                      </para>
                      <para>
                        <paratext>It seems helpful to consumers to offer some explanation of the terms "goods", "services" and "digital content" and so we suggest inserting examples of what is actually being sold.</paratext>
                      </para>
                      <para>
                        <paratext>
                          We have used the phrase "legal rights" as it is more likely to be understood than "statutory rights" (a term which the CMA Unfair terms guidance refers to as a "legal technicality" (
                          <ital>paragraph 5.2.6, CMA Unfair terms guidance</ital>
                          )).
                        </paratext>
                      </para>
                    </division>
                  </division>
                  <division id="a900936" level="2">
                    <head align="left" preservecase="true">
                      <headtext>What if I leave out the summary of statutory rights?</headtext>
                    </head>
                    <para>
                      <paratext>Use of the boxed wording summarising a consumer's statutory rights is optional. It could be used:</paratext>
                    </para>
                    <list type="bulleted">
                      <list.item>
                        <para>
                          <paratext>On its own as a best practice measure.</paratext>
                        </para>
                      </list.item>
                      <list.item>
                        <para>
                          <paratext>In conjunction with a broader guarantee offered by the trader, as a way of meeting the CMA Unfair terms guidance recommendation that, rather than simply referring to legal rights, the trader should indicate to consumers the sort of protection they have in law.</paratext>
                        </para>
                      </list.item>
                      <list.item>
                        <para>
                          <paratext>As a way of distinguishing the consumer's statutory rights from its rights under any guarantee. It is important that when setting out contractual remedies, the trader does not inadvertently present the consumer's legal rights as a distinctive feature of the trader's offer, as this is illegal under CPUT.</paratext>
                        </para>
                      </list.item>
                    </list>
                  </division>
                </division>
              </drafting.note>
            </subclause1>
            <subclause1 id="a894833">
              <para>
                <paratext>
                  <bold>Your rights if you are a business</bold>
                  . We warrant that on delivery[, and for a period of [12] months from the date of delivery (
                  <defn.term>warranty period</defn.term>
                  ),] any products which are goods shall:
                </paratext>
              </para>
              <list type="bulleted">
                <list.item>
                  <para>
                    <paratext>conform [in all material respects] with their description [and any relevant specification];</paratext>
                  </para>
                </list.item>
                <list.item>
                  <para>
                    <paratext>be free from material defects in design, material and workmanship;</paratext>
                  </para>
                </list.item>
                <list.item>
                  <para>
                    <paratext>be of satisfactory quality (within the meaning of the Sale of Goods Act 1979); and</paratext>
                  </para>
                </list.item>
                <list.item>
                  <para>
                    <paratext>be fit for any purpose held out by us.</paratext>
                  </para>
                </list.item>
              </list>
              <drafting.note id="a547684" jurisdiction="">
                <head align="left" preservecase="true">
                  <headtext>Your rights if you are a business</headtext>
                </head>
                <division id="a000029" level="1">
                  <division id="a669556" level="2">
                    <head align="left" preservecase="true">
                      <headtext>Goods</headtext>
                    </head>
                    <para>
                      <paratext>
                        If the contract is silent on the issue of quality of goods a business customer will have the benefit of the conditions implied by 
                        <link href="https://uk.practicallaw.thomsonreuters.com/Document/ICC82A330E44911DA8D70A0E70A78ED65/InfiniteScroll/Legislation?transitionType=Default&amp;amp;contextData=(sc.DocLink)&amp;amp;comp=pluk" style="ACTLinkURL">
                          <ital>sections 13 to 15</ital>
                        </link>
                         of the SGA relating to quality, description, fitness for purpose and correspondence with sample, which will normally entitle the customer to reject the defective goods, terminate the contract and sue for damages. There are corresponding terms implied in relation to goods transferred under services contracts at sections 3 to 5 of the SGSA. These rights and remedies can be excluded or limited, subject to the controls in UCTA. For further information about the application of UCTA in this area, see 
                        <link href="5-386-8420#a204462" style="ACTLinkPLCtoPLC">
                          <ital>Practice note, Drafting terms and conditions for the supply of goods: Quality</ital>
                        </link>
                        .
                      </paratext>
                    </para>
                    <para>
                      <paratext>
                        This clause substitutes the SGA terms with more limited ones. The exclusion of the statutory implied terms is in the provision 
                        <internal.reference refid="a685803">We don't compensate you for all losses caused by us or our products</internal.reference>
                        . The length of the warranty period should reflect the natural lifetime of the goods (for instance, their perishability, that is, how long it is reasonable to expect goods of that nature to last) and industry market practice.
                      </paratext>
                    </para>
                    <para>
                      <paratext>The limitation introduced by the square bracketed words "[in all material respects]" is fairly harsh and may compromise enforceability.</paratext>
                    </para>
                    <para>
                      <paratext>Only include the reference to a specification if there is one.</paratext>
                    </para>
                    <para>
                      <paratext>Depending on the nature of the goods, and how expensive they are, the trader may want to include either or both of last two bullet points.</paratext>
                    </para>
                    <para>
                      <paratext>
                        If the goods are ones that it would be reasonable to expect the customer to inspect immediately after delivery, for example, raw goods, the trader should provide that the customer's right to reject goods for obvious defects will expire after a number of days (see 
                        <link anchor="a515172" href="5-386-8420" style="ACTLinkPLCtoPLC">
                          <ital>Practice note, Drafting standard terms and conditions for the supply of goods: Acceptance</ital>
                        </link>
                        ).
                      </paratext>
                    </para>
                  </division>
                  <division id="a321117" level="2">
                    <head align="left" preservecase="true">
                      <headtext>Services</headtext>
                    </head>
                    <para>
                      <paratext>This clause makes no statement about the quality of services or remedies if the services are poor. The SGSA implies a requirement that the services must be provided with reasonable skill and care (section 13, SGSA) and any attempt to exclude or limit liability for breach of this requirement is subject to the UCTA reasonableness test (section 2, UCTA). In practice, reasonable skill and care is a relatively low standard and so no attempt has been made to exclude this requirement.</paratext>
                    </para>
                    <para>
                      <paratext>Statute does not provide a remedy for breach of the requirement to use reasonable skill and care. The implied term is not stated to be a condition so whether a breach gives rise to a right to terminate, or merely damages, will turn on the facts.</paratext>
                    </para>
                  </division>
                  <division id="a385849" level="2">
                    <head align="left" preservecase="true">
                      <headtext>Digital content</headtext>
                    </head>
                    <para>
                      <paratext>
                        Under business to business legislation digital content will be treated as either goods or services. For a discussion, see 
                        <link href="7-107-4789#a457722" style="ACTLinkPLCtoPLC">
                          <ital>Practice note, Main issues in software licensing and maintenance contracts: Does software constitute "goods"?</ital>
                        </link>
                      </paratext>
                    </para>
                  </division>
                </division>
              </drafting.note>
            </subclause1>
            <subclause1 id="a672557">
              <para>
                <paratext>
                  <bold>Your remedies if you are a business</bold>
                  . Unless an exception applies (see 
                  <link anchor="a331051" href="1-629-8169" style="ACTLinkPLCtoPLC">
                    <ital>Exceptions to business customers' warranty</ital>
                  </link>
                  ) if:
                </paratext>
              </para>
              <list type="bulleted">
                <list.item>
                  <para>
                    <paratext>
                      you give us notice in writing [during the warranty period] within a reasonable time of discovery that a product does not comply with the business customer warranty (see 
                      <link anchor="a307051" href="1-629-8169" style="ACTLinkPLCtoPLC">
                        <ital>Your rights if you are a consumer</ital>
                      </link>
                      );
                    </paratext>
                  </para>
                </list.item>
                <list.item>
                  <para>
                    <paratext>we are given a reasonable opportunity of examining such product; and</paratext>
                  </para>
                </list.item>
                <list.item>
                  <para>
                    <paratext>you return such product to us at our cost,</paratext>
                  </para>
                </list.item>
              </list>
            </subclause1>
            <para>
              <paratext>we shall, at our option, repair or replace the defective product, or refund the price of the defective product in full and this will be your only remedy for breach of the warranty. These terms shall apply to any repaired or replacement products supplied by us.</paratext>
            </para>
            <subclause1 id="a331051">
              <para>
                <paratext>
                  <bold>Exceptions to business customers' warranty</bold>
                  . We will not be liable for a product's failure to comply with the business customer warranty (see 
                  <link anchor="a894833" href="1-629-8169" style="ACTLinkPLCtoPLC">
                    <ital>Your rights if you are a business</ital>
                  </link>
                  ) if:
                </paratext>
              </para>
              <list type="bulleted">
                <list.item>
                  <para>
                    <paratext>you make any further use of such product after telling us it is non-compliant;</paratext>
                  </para>
                </list.item>
                <list.item>
                  <para>
                    <paratext>the defect arises because you failed to follow our oral or written instructions as to the storage, installation, commissioning, use or maintenance of the product or (if there are none) good trade practice;</paratext>
                  </para>
                </list.item>
                <list.item>
                  <para>
                    <paratext>the defect arises because we followed any drawing, design or specification supplied by you;</paratext>
                  </para>
                </list.item>
                <list.item>
                  <para>
                    <paratext>you alter or repair the product without our written consent; or</paratext>
                  </para>
                </list.item>
                <list.item>
                  <para>
                    <paratext>the defect arises because of fair wear and tear, wilful damage, negligence, or abnormal working conditions.</paratext>
                  </para>
                </list.item>
              </list>
              <drafting.note id="a608678" jurisdiction="">
                <head align="left" preservecase="true">
                  <headtext>Your remedies if you are a business and Exceptions to business customers' warranties</headtext>
                </head>
                <division id="a000030" level="1">
                  <para>
                    <paratext>
                      These term (including the pre-conditions to the exercise of the business customer's remedies) limit the trader's liability and so will be assessable for reasonableness under UCTA (see 
                      <link href="5-386-8420#a204462" style="ACTLinkPLCtoPLC">
                        <ital>Practice note, Drafting terms and conditions for the supply of goods: Quality</ital>
                      </link>
                      ).
                    </paratext>
                  </para>
                  <para>
                    <paratext>The statement that repaired or replacement goods are governed by the contract is included to disapply the SGA to such goods.</paratext>
                  </para>
                </division>
              </drafting.note>
            </subclause1>
          </clause>
          <clause id="a257752" numbering="none">
            <head align="left" preservecase="true">
              <headtext>We can change products and these terms</headtext>
            </head>
            <drafting.note id="a917547" jurisdiction="">
              <head align="left" preservecase="true">
                <headtext>We can change products and these terms</headtext>
              </head>
              <division id="a000031" level="1">
                <para>
                  <paratext>Reserving rights to provide products which are different from those advertised or marketed or to change any of the terms on which they are provided is difficult in both a business and consumer context, although stricter controls apply when dealing with consumers.</paratext>
                </para>
                <para>
                  <paratext>
                    These terms adopt an approach intended to work with consumers. The steps taken to try and make the trader's right to vary fair in relation to consumers will assist in making the terms reasonable for business customers. However it would also be possible to have a separate, more pro-supplier clause for use with business customers, see for example, 
                    <link anchor="a1059649" href="4-318-4952" style="ACTLinkPLCtoPLC">
                      <ital>Standard document, Terms and conditions for the supply of services (pro-supplier): 3.3 The Supplier reserves the right to amend the Specification</ital>
                    </link>
                    .
                  </paratext>
                </para>
                <division id="a345257" level="2">
                  <head align="left" preservecase="true">
                    <headtext>Controls on varying products and terms with consumer customers</headtext>
                  </head>
                  <para>
                    <paratext>Reserving the right to change the product or the terms when dealing with consumers is difficult because:</paratext>
                  </para>
                  <list type="bulleted">
                    <list.item>
                      <para>
                        <paratext>
                          The CRA and CCRs imply terms that products will conform to information given about them, including their main characteristics (sections 
                          <link href="6-608-0969" style="ACTLinkPLCtoPLC">
                            <ital>11</ital>
                          </link>
                          , 
                          <link href="8-608-0968" style="ACTLinkPLCtoPLC">
                            <ital>36</ital>
                          </link>
                           and 
                          <link href="6-608-7517" style="ACTLinkPLCtoPLC">
                            <ital>50</ital>
                          </link>
                          , CRA).
                        </paratext>
                      </para>
                    </list.item>
                    <list.item>
                      <para>
                        <paratext>Changes to the main characteristics of products (as advised in pre-contract information provided to the consumer) must be expressly agreed by the consumer, whether they are to be made before or after the contract is concluded (sections 11(4), 36(4) and 50(4), CRA).</paratext>
                      </para>
                    </list.item>
                    <list.item>
                      <para>
                        <paratext>Terms that enable the trader to unilaterally alter without valid reason any characteristics of the product or the terms on which they are provided are grey listed as potentially unfair under the CRA (paragraphs 11 and 13, Schedule 2, CRA). There are carve-outs for certain of these terms in respect of contracts that last indefinitely, financial services contracts and price index clauses, provided these meet certain criteria (paragraphs 11, 12, 13, 14, and 15 Part 1 and Part 2, Schedule 2, CRA).</paratext>
                      </para>
                    </list.item>
                  </list>
                  <para>
                    <paratext>The CMA Unfair terms guidance contains the following comment about variation clauses in contracts for a fixed or minimum contractual period:</paratext>
                  </para>
                  <para>
                    <paratext>"Where a consumer enters a contract for a defined period (especially if it is short) the natural expectation will be that the terms of the contract are fixed for that period. A term which, contrary to such an expectation, allows the business to provide something that is not in all significant respects what the consumer agreed to buy, or to charge a higher price than was agreed, is clearly under particular suspicion of unfairness and may well be blacklisted for the purposes of Part 1 of the Act."</paratext>
                  </para>
                  <para>
                    <paratext>(paragraph 5.21.4, CMA Unfair terms guidance.)</paratext>
                  </para>
                  <para>
                    <paratext>If a trader does want to include a right to vary the products or the terms (for example in an on-going contract to supply products or to supply updates) the right to do so must be carefully drafted to reflect the CMA Unfair terms guidance and, where applicable, the BIS CRA Digital Content Guidance summarised below.</paratext>
                  </para>
                </division>
                <division id="a455936" level="2">
                  <head align="left" preservecase="true">
                    <headtext>Controls on varying products and terms with business customers</headtext>
                  </head>
                  <para>
                    <paratext>
                      The SGA implies terms that goods will correspond with their description (section 
                      <link href="1-508-2486" style="ACTLinkPLCtoPLC">
                        <ital>13</ital>
                      </link>
                      , SGA) and any sample (section 
                      <link href="5-508-2489" style="ACTLinkPLCtoPLC">
                        <ital>15</ital>
                      </link>
                      , SGA). Goods which do not correspond with their description may also be in breach of the implied term requiring them to be of satisfactory quality (section 
                      <link href="7-508-2488" style="ACTLinkPLCtoPLC">
                        <ital>14</ital>
                      </link>
                      (2), SGA). These implied terms are conditions, so that their breach will give the customer a right to terminate, unless the breach is so slight that it would be unreasonable for the customer to be able to reject, in which case only damages are available. An attempt to exclude or restrict liability for breach of these implied terms is enforceable only to the extent that it satisfies the reasonableness test (section 
                      <link href="8-507-2870" style="ACTLinkPLCtoPLC">
                        <ital>6</ital>
                      </link>
                      (1A)(a), UCTA).
                    </paratext>
                  </para>
                  <para>
                    <paratext>
                      In relation to services there is an implied term that they will be provided with reasonable skill and care (section 
                      <link href="2-507-0628" style="ACTLinkPLCtoPLC">
                        <ital>13</ital>
                      </link>
                      , SGSA) and statements made about the services by the trader may form express terms of the contract. A term by which the seller excludes or restricts its liability for failure to use reasonable skill and care or for breach of contract or claims to be entitled to render a contractual performance substantially different from that which was reasonably expected of them or claims to be entitled to render no performance at all, is enforceable only to the extent that it satisfies the reasonableness test (sections 
                      <link href="4-506-5560" style="ACTLinkPLCtoPLC">
                        <ital>2</ital>
                      </link>
                      (2) and 
                      <link href="5-505-8743" style="ACTLinkPLCtoPLC">
                        <ital>3</ital>
                      </link>
                      , UCTA).
                    </paratext>
                  </para>
                  <para>
                    <paratext>
                      For more information on the B2B position, see 
                      <link anchor="a204462" href="5-386-8420" style="ACTLinkPLCtoPLC">
                        <ital>Practice note, Drafting standard terms and conditions for the supply of goods: Quality</ital>
                      </link>
                      .
                    </paratext>
                  </para>
                </division>
                <division id="a490423" level="2">
                  <head align="left" preservecase="true">
                    <headtext>Recommended approach for consumer contracts</headtext>
                  </head>
                  <para>
                    <paratext>The CMA Unfair terms guidance contains advice about when reserving a right to change the products or vary the contract terms is permitted (paragraphs 5.21 to 5.23, CMA Unfair terms guidance).</paratext>
                  </para>
                  <division id="a503588" level="3">
                    <head align="left" preservecase="true">
                      <headtext>Minor technical adjustments</headtext>
                    </head>
                    <para>
                      <paratext>The CMA Unfair terms guidance suggests that reserving the right to make minor technical adjustments to the products which can be of no real significance to the consumer, or changes required by law or necessity may be acceptable. The example given is of changes to address a security threat to a consumer’s digital content or device (paragraph 5.22.4, CMA Unfair terms guidance).</paratext>
                    </para>
                    <para>
                      <paratext>The CMA appears to suggest that the consumer's consent need not be sought for this type of change (whereas it would be for more significant changes, as discussed below). Perhaps the rationale is that the changes are not to the main characteristics of the products.</paratext>
                    </para>
                    <para>
                      <paratext>However, the CMA Unfair terms guidance indicates that reserving the right to vary products by reference to technical, legislative or regulatory reasons, without giving any information to enable consumers to understand what this is likely to mean for them in practical terms, is unlikely to suffice. If the trader is aware of the sort of changes it may have to make under this heading, then it should explain their impact on consumers (paragraph 5.21.5, CMA Unfair terms guidance).</paratext>
                    </para>
                    <para>
                      <paratext>
                        The drafting in 
                        <internal.reference refid="a364403">Changes we can always make. We can always change a product:</internal.reference>
                         reflects this approach.
                      </paratext>
                    </para>
                  </division>
                  <division id="a262426" level="3">
                    <head align="left" preservecase="true">
                      <headtext>More significant changes</headtext>
                    </head>
                    <para>
                      <paratext>Alternatively, if the trader anticipates having to make more significant changes the CMA Unfair terms guidance (paragraph 5.22) suggests doing all of the following:</paratext>
                    </para>
                    <list type="bulleted">
                      <list.item>
                        <para>
                          <paratext>Take steps to ensure that the consumer fully understands and agrees to the change in advance. The pre-contract information given to the consumer (the description of the product the consumer is buying) should set out clearly what variation might be made, and in what circumstances, and define how far it can go (for example, that a substitute from a range of colours may be made).</paratext>
                        </para>
                      </list.item>
                      <list.item>
                        <para>
                          <paratext>Give the consumer valid reasons why a change may be made. Only changes prompted by bona fide external circumstances are likely to be fair. The pre-contract information provided to consumers should enable them to foresee the incidence, nature and extent of any changes. For example, the trader could warn the consumer that an element of a selected service might be unavailable from a third party provider.</paratext>
                        </para>
                      </list.item>
                      <list.item>
                        <para>
                          <paratext>Provide in the contract for the consumer to receive reasonable notice of any changes which will be made before they affect the consumer. In addition, give the consumer a meaningful right to cancel and receive a refund if the changes are not acceptable. A "meaningful" right to cancel is one which can be exercised freely, where the exercise does not leave the consumer worse off.</paratext>
                        </para>
                      </list.item>
                    </list>
                    <para>
                      <paratext>
                        The drafting in the provision 
                        <internal.reference refid="a280058">Changes we can only make if we give you notice and an option to terminate. We can also make the following types of change to the product or these terms, but if we do so we'll notify you and you can then contact our Customer Service Team: [LINK TO OR WEBSITE ADDRESS FOR CUSTOMER SERVICE TEAM PAGE OR TELEPHONE NUMBER FOR TEAM] to end the contract before the change takes effect and receive a refund for any products you've paid for in advance, but won't receive:</internal.reference>
                         reflects this approach.
                      </paratext>
                    </para>
                    <para>
                      <paratext>In relation to changes in the price of the products, the CMA Unfair terms guidance (paragraph 5.23) states that:</paratext>
                    </para>
                    <list type="bulleted">
                      <list.item>
                        <para>
                          <paratext>Specifying the level and timing of price increases (within narrow limits, if not precisely) clearly in the pre-contract information, effectively makes such changes part of the agreed price and is acceptable.</paratext>
                        </para>
                      </list.item>
                      <list.item>
                        <para>
                          <paratext>Linking changes in prices to the RPI index is likely to be acceptable, provided again that this is clearly drawn to the consumer's attention.</paratext>
                        </para>
                      </list.item>
                      <list.item>
                        <para>
                          <paratext>In principle, any change may be fair if the consumer can terminate the contract (without being left worse off) before the change comes into effect.</paratext>
                        </para>
                      </list.item>
                      <list.item>
                        <para>
                          <paratext>The above rules do not apply to passing on an increase in VAT, which is acceptable.</paratext>
                        </para>
                      </list.item>
                    </list>
                  </division>
                  <division id="a982680" level="3">
                    <head align="left" preservecase="true">
                      <headtext>What if I leave out the right to make changes?</headtext>
                    </head>
                    <para>
                      <paratext>If these provisions are omitted the trader would need to seek consumer consent to any changes to the product. If consent was refused the trader would have no right to make the change. If the trader went ahead and made the change anyway, without the consumer's consent, it would be in breach of its contract with the consumer, potentially entitling the consumer both to terminate and claim damages</paratext>
                    </para>
                  </division>
                </division>
              </division>
            </drafting.note>
            <subclause1 id="a364403">
              <para>
                <paratext>
                  <bold>Changes we can always make</bold>
                  . We can always change a product:
                </paratext>
              </para>
              <list type="bulleted">
                <list.item>
                  <para>
                    <paratext>to reflect changes in relevant laws and regulatory requirements [EXPLAIN ANTICIPATED PRACTICAL EFFECTS OF POSSIBLE CHANGES];</paratext>
                  </para>
                </list.item>
                <list.item>
                  <para>
                    <paratext>
                      to make minor technical adjustments and improvements, for example to address a security threat. These are changes that [don't affect your use of the product 
                      <bold>OR</bold>
                       [EXPLAIN IMPACT]]; and
                    </paratext>
                  </para>
                </list.item>
                <list.item>
                  <para>
                    <paratext>to update digital content, provided that the digital content always matches the description of it that we provided to you before you bought it. We might ask you to install these updates.</paratext>
                  </para>
                </list.item>
              </list>
              <drafting.note id="a607975" jurisdiction="">
                <head align="left" preservecase="true">
                  <headtext>Updates to digital content</headtext>
                </head>
                <division id="a000032" level="1">
                  <para>
                    <paratext>With regard to updates to digital content, the BIS CRA Digital Content Guidance stresses the importance of flagging likely updates in the pre-contractual information provided to the consumer. Provided the pre-contractual information about the digital content is carefully worded to cover the anticipated updates (providing as much information about their impact as possible) and the wording would not permit changes which are unfair there will be no need for the trader to obtain the consumer's consent to specific updates as they are made. Information about updates and upgrades is likely to vary from product to product and so would sit best in the product description (where it is also more likely to be seen by the consumer). This provision points back to that description, for completeness. Key suggestions made in the BIS Guidance include:</paratext>
                  </para>
                  <list type="bulleted">
                    <list.item>
                      <para>
                        <paratext>Consider stating that the digital content will work with the "latest [and previous] version" of an operating system.</paratext>
                      </para>
                    </list.item>
                    <list.item>
                      <para>
                        <paratext>Consider describing functionality in technology neutral ways, to ensure that underlying changes to how digital content works can be made without the need to seek consent. For example, the software will feature a spellchecker, rather than a spellchecker of a particular specification.</paratext>
                      </para>
                    </list.item>
                  </list>
                  <para>
                    <paratext>Consider whether the trader will need to remove unused features. If so, this should be flagged clearly in the pre-contractual information.</paratext>
                  </para>
                  <division id="a488236" level="2">
                    <head align="left" preservecase="true">
                      <headtext>What if I leave out the updates to digital content provision?</headtext>
                    </head>
                    <para>
                      <paratext>Even if the digital content is carefully described and likely updates explained in the pre-contractual information, it is preferable to get the consumer's acceptance that updates (as envisaged in the pre-contractual information) may be made in the terms. The BIS CRA Digital Content Guidance states "If you are going to provide updates, then you should make that clear in the contract".</paratext>
                    </para>
                  </division>
                </division>
              </drafting.note>
            </subclause1>
            <subclause1 id="a280058">
              <para>
                <paratext>
                  <bold>Changes we can only make if we give you notice and an option to terminate</bold>
                  . We can also make the following types of change to the product or these terms, but if we do so we'll notify you and you can then contact our Customer Service Team: [LINK TO OR WEBSITE ADDRESS FOR CUSTOMER SERVICE TEAM PAGE OR TELEPHONE NUMBER FOR TEAM] to end the contract before the change takes effect and receive a refund for any products you've paid for in advance, but won't receive:
                </paratext>
              </para>
            </subclause1>
          </clause>
          <clause id="a437962" numbering="none">
            <para>
              <paratext>[OUTLINE OF ANTICIPATED CHANGES].</paratext>
            </para>
          </clause>
          <clause id="a466087" numbering="none">
            <head align="left" preservecase="true">
              <headtext>We can suspend supply (and you have rights if we do)</headtext>
            </head>
            <subclause1 id="a624447">
              <para>
                <paratext>
                  <bold>We can suspend the supply of a product.</bold>
                   We do this to:
                </paratext>
              </para>
              <list type="bulleted">
                <list.item>
                  <para>
                    <paratext>deal with technical problems or make minor technical changes;</paratext>
                  </para>
                </list.item>
                <list.item>
                  <para>
                    <paratext>update the product to reflect changes in relevant laws and regulatory requirements; or</paratext>
                  </para>
                </list.item>
                <list.item>
                  <para>
                    <paratext>
                      make changes to the product (see 
                      <internal.reference refid="a257752">We can change products and these terms</internal.reference>
                      ).
                    </paratext>
                  </para>
                </list.item>
              </list>
            </subclause1>
            <subclause1 id="a562037">
              <para>
                <paratext>
                  <bold>We let you know, may adjust the price and may allow you to terminate. </bold>
                  We contact you in advance to tell you we're suspending supply
                  <bold>, </bold>
                  unless the problem is urgent or an emergency. If we suspend the product [for longer than [PERIOD] in any [PERIOD]] we adjust the price so you don't pay for it while its suspended. If we suspend supply, or tell you we're going to suspend supply, for more than [PERIOD] you can contact our Customer Service Team: [LINK TO OR WEBSITE ADDRESS FOR CUSTOMER SERVICE TEAM PAGE OR TELEPHONE NUMBER FOR TEAM] to end the contract and we'll refund any sums you've paid in advance for products you won't receive.
                </paratext>
              </para>
              <drafting.note id="a496373" jurisdiction="">
                <head align="left" preservecase="true">
                  <headtext>We can suspend supply (and you have rights if we do)</headtext>
                </head>
                <division id="a000033" level="1">
                  <para>
                    <paratext>
                      The CMA Unfair terms guidance indicates that a term should only allow a trader to suspend provision of any significant benefit under the contract for legitimate purposes and should be narrowly drafted so that it cannot be used in any other circumstances (
                      <link href="https://assets.publishing.service.gov.uk/government/uploads/system/uploads/attachment_data/file/450440/Unfair_Terms_Main_Guidance.pdf" style="ACTLinkURL">
                        <ital>paragraph 5.10, CMA Unfair terms guidance</ital>
                      </link>
                      ).
                    </paratext>
                  </para>
                  <para>
                    <paratext>
                      The CMA Unfair terms guidance suggests that legitimate purposes include dealing with technical problems or other circumstances outside the trader's control, protecting the interests of other innocent third parties, or providing enhanced products to the consumer (although as discussed in 
                      <internal.reference refid="a917547">Drafting note, We can change products and these terms</internal.reference>
                      , the majority of changes must be agreed by the consumer). In addition, the trader should give the consumer notice of the suspension and a penalty-free right to terminate before it takes effect.
                    </paratext>
                  </para>
                  <para>
                    <paratext>
                      A term binding a consumer to go on paying when the benefit of the contract is not provided is potentially unfair (
                      <link href="https://assets.publishing.service.gov.uk/government/uploads/system/uploads/attachment_data/file/450440/Unfair_Terms_Main_Guidance.pdf" style="ACTLinkURL">
                        <ital>paragraph 5.12, CMA Unfair terms guidance</ital>
                      </link>
                      ). The drafting in this document provides that the consumer does not pay for products while they are suspended, unless the outage is very short. The justification for this is that it would be impracticable to revise the price in these circumstances because the adjustment would be so minimal. An alternative approach could be to extend the contract period by the period of suspension at no cost to the consumer, although whether this would be fair would depend on the nature of the products. It would not be appropriate if the consumer might have no need for the products beyond the initial contract period.
                    </paratext>
                  </para>
                  <para>
                    <paratext>In a B2B context a right to suspend services is subject to the UCTA reasonableness test by virtue of section 3 of UCTA, as it allows the affected party to avoid liability for non-performance of its obligations.</paratext>
                  </para>
                  <para>
                    <paratext>This clause adopts an approach designed to achieve both fairness for consumer contracts and reasonableness for contracts with business customers.</paratext>
                  </para>
                  <division id="a211374" level="2">
                    <head align="left" preservecase="true">
                      <headtext>What if I leave out the suspension provision?</headtext>
                    </head>
                    <para>
                      <paratext>The reason for seeking consumer acceptance of this term is to avoid the consumer having a right to terminate or claim damages for non-provision of the service due to the specified reasons.</paratext>
                    </para>
                    <para>
                      <paratext>
                        An alternative approach would be to incorporate information about suspensions into the description of the service provided to the consumer pre-contract (and it would be advisable to do this in any case, to improve transparency). However, care must be taken to ensure that the suspensions are in line with what a consumer would reasonably expect. Reliance on an overly limited specification can be prohibited as an attempt to exclude liability for breach of the key statutory implied terms, such as fitness for purpose or provision with reasonable skill and care, see 
                        <link anchor="a331720" href="w-022-5839" style="ACTLinkPLCtoPLC">
                          <ital>Practice note, Consumer contracts: common terms and conditions: Restricted specifications</ital>
                        </link>
                        .
                      </paratext>
                    </para>
                  </division>
                  <division id="a329752" level="2">
                    <head align="left" preservecase="true">
                      <headtext>No right to suspend for non-payment</headtext>
                    </head>
                    <para>
                      <paratext>We have not included a right to suspend the products for non-payment. It is possible that such a clause would be unfair and unenforceable and that, as a result, its use in standard terms may breach CPUT.</paratext>
                    </para>
                    <para>
                      <paratext>
                        The CMA Unfair terms guidance (
                        <link href="https://assets.publishing.service.gov.uk/government/uploads/system/uploads/attachment_data/file/450440/Unfair_Terms_Main_Guidance.pdf" style="ACTLinkURL">
                          <ital>paragraph 5.10.4</ital>
                        </link>
                        ) states that:
                      </paratext>
                    </para>
                    <list type="bulleted">
                      <list.item>
                        <para>
                          <paratext>There is no need for provisions of this kind to deal with serious breaches, since the general law covers the point (under general law there is a right to terminate but not suspend).</paratext>
                        </para>
                      </list.item>
                      <list.item>
                        <para>
                          <paratext>Any term allowing the trader to withhold a significant benefit under the contract where that would not be allowed by the general law is liable to be unfair.</paratext>
                        </para>
                      </list.item>
                    </list>
                    <para>
                      <paratext>In practice suspending the products (so that the consumer may not be free to source alternative products elsewhere) may well be less favourable to the consumer than termination.</paratext>
                    </para>
                  </division>
                </division>
              </drafting.note>
            </subclause1>
          </clause>
          <clause id="a889796" numbering="none">
            <head align="left" preservecase="true">
              <headtext>We can withdraw products</headtext>
            </head>
            <subclause1 id="a588623">
              <para>
                <paratext>We can stop providing a product, such as an ongoing service or a subscription for digital content or goods. We let you know at least [PERIOD] in advance and we refund any sums you've paid in advance for products which won't be provided.</paratext>
              </para>
              <drafting.note id="a605437" jurisdiction="">
                <head align="left" preservecase="true">
                  <headtext>We can withdraw products</headtext>
                </head>
                <division id="a000034" level="1">
                  <para>
                    <paratext>
                      Some contracts continue indefinitely, until the consumer either exercises a contractual right to terminate or is in breach, prompting the trader to terminate. Generally, a trader will also want a right to terminate such contracts on notice, in case it wishes to stop providing the product. This provision entitles the trader to terminate but commits the trader to giving notice. The CMA Unfair terms guidance indicates that this notice must be reasonable and that a right to terminate with immediate effect can only be included if valid reasons as to why it will be exercised are set out in the contract (
                      <ital>para 5.18, CMA Unfair terms guidance</ital>
                      ).
                    </paratext>
                  </para>
                  <para>
                    <paratext>Under CPUT, offering products which you cannot provide is prohibited and automatically unfair (paragraph 5, Schedule 1, CPUT).</paratext>
                  </para>
                  <division id="a135977" level="2">
                    <head align="left" preservecase="true">
                      <headtext>What if I leave out the right to withdraw products?</headtext>
                    </head>
                    <para>
                      <paratext>
                        There may be an implied right to terminate an indefinite contract on reasonable notice, see 
                        <link anchor="a424432" href="5-559-4767" style="ACTLinkPLCtoPLC">
                          <ital>Practice note, Contracts: termination: Implied term allowing termination on reasonable notice</ital>
                        </link>
                        . However, it is preferable to have an express contractual right to terminate, if one might be required, given the nature of the product. A trader that terminated without having a right to do so would expose itself to claims for damages and, possibly, specific performance, see 
                        <link href="6-533-8545" style="ACTLinkPLCtoPLC">
                          <ital>Practice note, Damages for breach of contract: an overview</ital>
                        </link>
                         and 
                        <link href="3-622-6845" style="ACTLinkPLCtoPLC">
                          <ital>Practice note, Specific performance</ital>
                        </link>
                        .
                      </paratext>
                    </para>
                  </division>
                </division>
              </drafting.note>
            </subclause1>
          </clause>
          <clause id="a552072" numbering="none">
            <head align="left" preservecase="true">
              <headtext>We can end our contract with you</headtext>
            </head>
            <drafting.note id="a807156" jurisdiction="">
              <head align="left" preservecase="true">
                <headtext>We can end our contract with you</headtext>
              </head>
              <division id="a000035" level="1">
                <division id="a571815" level="2">
                  <head align="left" preservecase="true">
                    <headtext>When a contractual right to terminate might be appropriate</headtext>
                  </head>
                  <para>
                    <paratext>Including a contractual right to terminate and claim compensation will be particularly relevant where the trader is entering into longer term contracts to supply services or digital content or regular deliveries of goods. In these situations, the trader may want to be able to terminate for non-payment or another failure by the consumer.</paratext>
                  </para>
                </division>
                <division id="a104716" level="2">
                  <head align="left" preservecase="true">
                    <headtext>What if I leave out the trader's right to terminate?</headtext>
                  </head>
                  <para>
                    <paratext>A trader will have common law rights to terminate the contract if the consumer is in repudiatory breach. This might occur, for example, if the consumer fails to pay instalments which fall due, fails to take delivery or fails to give the trader access to provide services. In each case whether the breach is sufficiently serious to justify termination will be a matter of fact.</paratext>
                  </para>
                  <para>
                    <paratext>
                      It is not necessary to state these rights in the contract and any attempt to reserve the right to terminate where this would not be permitted at common law may well be unfair under the CRA (
                      <ital>paragraphs 7 and 8, Schedule 2, CRA</ital>
                      ).
                    </paratext>
                  </para>
                  <para>
                    <paratext>However, a trader may want to specify certain contractual rights to terminate (which aim to overlap with rights at common law) to make the position clear to consumers and to introduce contractual remedies for the trader, which may be easier to enforce than its common law rights.</paratext>
                  </para>
                  <para>
                    <paratext>
                      In relation to the trader's rights to compensation (including enforcement costs) where the consumer is at fault, see 
                      <link href="w-022-5839" style="ACTLinkPLCtoPLC">
                        <ital>Practice note, Consumer contracts: common terms and conditions: Where the consumer has no right to end the contract</ital>
                      </link>
                       and 
                      <link href="w-022-5839" style="ACTLinkPLCtoPLC">
                        <ital>Refund of deposits</ital>
                      </link>
                      .
                    </paratext>
                  </para>
                </division>
              </division>
            </drafting.note>
            <subclause1 id="a104811">
              <para>
                <paratext>We can end our contract with you for a product and claim any compensation due to us [(including enforcement costs)] if:</paratext>
              </para>
              <list type="bulleted">
                <list.item>
                  <para>
                    <paratext>you don't make any payment to us when it's due and you still don't make payment within [NUMBER] days of our reminding you that payment is due;</paratext>
                  </para>
                </list.item>
                <list.item>
                  <para>
                    <paratext>you don't, within a reasonable time of us asking for it, provide us with information, cooperation or access that we need to provide the product, for example, [TYPE OF INFORMATION, COOPERATION OR ACCESS];</paratext>
                  </para>
                </list.item>
              </list>
              <drafting.note id="a233830" jurisdiction="">
                <head align="left" preservecase="true">
                  <headtext>Consumer failure to provide information, cooperation or access</headtext>
                </head>
                <division id="a000036" level="1">
                  <para>
                    <paratext>A right to terminate for failure to provide information, cooperation or access risks being unfair if the consumer was not told of any requirements before they ordered. Information about requirements should be given on the website, in the product description. The more difficult the requirements are to comply with, the more prominently they should be communicated.</paratext>
                  </para>
                </division>
              </drafting.note>
              <list type="bulleted">
                <list.item>
                  <para>
                    <paratext>
                      you don't, within a reasonable time, either allow us to deliver the product to you or collect it from us. [If you have said you will collect a product ("click and collect") but you don't do this within [NUMBER OF DAYS] then [(unless the product is made to your specifications or is clearly personalised)] we treat your order as cancelled and refund the purchase price, see 
                      <internal.reference refid="a408689">If you are a consumer [and you bought [online,] [by mail order,] [over the telephone] [or] [on your doorstep]], you have a legal right to change your mind [plus extra rights under our guarantee OR and however you bought you have rights under our guarantee]</internal.reference>
                      .]; or
                    </paratext>
                  </para>
                </list.item>
              </list>
              <drafting.note id="a824101" jurisdiction="">
                <head align="left" preservecase="true">
                  <headtext>Consumer failure to take delivery</headtext>
                </head>
                <division id="a000037" level="1">
                  <para>
                    <paratext>
                      The consequences of the consumer's failure to take delivery of goods is governed by the Sale of Goods Act 1979 (SGA); there are no consumer-specific provisions in the CRA. Consumers who fail to take delivery of goods within a reasonable time of being requested to do so, are liable to the trader for any loss occasioned by their neglect or refusal to take delivery, and also for a reasonable charge for the care and custody of the goods (
                      <ital>section 37, SGA</ital>
                      ).
                    </paratext>
                  </para>
                  <para>
                    <paratext>
                      However, given that consumers have a right to cancel most online contracts for goods, the trader may find it easiest to treat "click and collect" orders which are not collected as cancelled and there is optional drafting for this. Any relevant exceptions to the cancellation right which might be applicable should be mentioned to avoid giving the consumer the impression that they will benefit from a cancellation right in respect of them; the draft wording mentions the exception for bespoke goods. For more information on the exceptions, see 
                      <internal.reference refid="a372032">Drafting note, When you can't change your mind</internal.reference>
                      .
                    </paratext>
                  </para>
                  <para>
                    <paratext>If the trader is treating uncollected orders as cancelled it should also prominently state this on its website before orders are placed and in the order acknowledgement and order acceptance communications. Otherwise, there is a risk of consumer detriment; the consumer could have a wasted journey and may have missed the opportunity to buy the product elsewhere.</paratext>
                  </para>
                  <division id="a437474" level="2">
                    <head align="left" preservecase="true">
                      <headtext>What if I leave out the consequences of the consumer not taking delivery?</headtext>
                    </head>
                    <para>
                      <paratext>If this provision is omitted the relevant provisions of the SGA would apply.</paratext>
                    </para>
                  </division>
                </division>
              </drafting.note>
              <list type="bulleted">
                <list.item>
                  <para>
                    <paratext>[OTHER CIRCUMSTANCES].</paratext>
                  </para>
                </list.item>
              </list>
            </subclause1>
          </clause>
          <clause id="a685803" numbering="none">
            <head align="left" preservecase="true">
              <headtext>We don't compensate you for all losses caused by us or our products</headtext>
            </head>
            <subclause1 id="a523132">
              <para>
                <paratext>
                  <bold>Our liability to consumers</bold>
                  . We're responsible for losses you suffer caused by us breaking this contract unless the loss is:
                </paratext>
              </para>
              <list type="bulleted">
                <list.item>
                  <para>
                    <paratext>
                      <bold>Unexpected</bold>
                      . It was not obvious that it would happen and nothing you said to us before we accepted your order meant we should have expected it (so, in the law, the loss was unforeseeable).
                    </paratext>
                  </para>
                </list.item>
                <list.item>
                  <para>
                    <paratext>
                      <bold>Caused by a delaying event outside our control</bold>
                      . As long as we have taken the steps set out in the section 
                      <internal.reference refid="a952379">We're not responsible for delays outside our control</internal.reference>
                      .
                    </paratext>
                  </para>
                </list.item>
                <list.item>
                  <para>
                    <paratext>
                      <bold>Avoidable. </bold>
                      Something you could have avoided by taking reasonable action. For example, damage to your own digital content or device, which was caused by digital content we supplied and which you could have avoided by following our advice to apply a free update or by correctly following the installation instructions or having the minimum system requirements advised by us.
                    </paratext>
                  </para>
                </list.item>
                <list.item>
                  <para>
                    <paratext>
                      <bold>A business loss</bold>
                      . Our liability for any loss you suffer in connection with your trade, business, craft or profession is limited, as described in 
                      <ital>Your rights if you are a business</ital>
                      .
                    </paratext>
                  </para>
                </list.item>
              </list>
              <drafting.note id="a847788" jurisdiction="">
                <head align="left" preservecase="true">
                  <headtext>If you're a consumer we don't compensate you for these losses</headtext>
                </head>
                <division id="a000038" level="1">
                  <para>
                    <paratext>
                      There is no financial cap on a trader's liability to consumers in these terms. We strongly recommend reading the discussion of excluding and limiting liability to consumers in 
                      <link anchor="a175036" href="w-022-5839" style="ACTLinkPLCtoPLC">
                        <ital>Practice note, Consumer contracts: common terms and conditions: Limitations of liability</ital>
                      </link>
                      . The practice note also suggests non-contractual steps to reduce liability.
                    </paratext>
                  </para>
                  <division id="a393257" level="2">
                    <head align="left" preservecase="true">
                      <headtext>Unexpected losses</headtext>
                    </head>
                    <para>
                      <paratext>
                        In business-to-business contracts it is common to exclude consequential loss. The CMA Unfair terms guidance considers such a provision to be unfair in a consumer contract (
                        <ital>paragraph 5.6, CMA Unfair terms guidance</ital>
                        ). Instead, this provision adopts the recommended approach from the CMA Unfair terms guidance. Under this, the trader is liable for foreseeable losses, but not for unforeseeable losses. In effect, this restates the ordinary principle of recovery of loss.
                      </paratext>
                    </para>
                  </division>
                  <division id="a453452" level="2">
                    <head align="left" preservecase="true">
                      <headtext>Losses caused by a delaying event outside our control</headtext>
                    </head>
                    <para>
                      <paratext>
                        This provision refers back to the earlier provision excluding liability for delay caused by events outside the trader's control. It is referred to here for increased visibility. For a discussion of the term, see 
                        <internal.reference refid="a476391">Drafting note, We're not responsible for delays outside our control</internal.reference>
                        .
                      </paratext>
                    </para>
                  </division>
                  <division id="a546655" level="2">
                    <head align="left" preservecase="true">
                      <headtext>Avoidable losses</headtext>
                    </head>
                    <para>
                      <paratext>
                        Consumers are under a common law duty to mitigate their losses, and this provision avoids any suggestion that this obligation does not apply. See 
                        <link anchor="a249239" href="6-533-8545" style="ACTLinkPLCtoPLC">
                          <ital>Practice note: overview, Damages for breach of contract: an overview: Mitigation</ital>
                        </link>
                        .
                      </paratext>
                    </para>
                  </division>
                  <division id="a614120" level="2">
                    <head align="left" preservecase="true">
                      <headtext>Losses caused by digital content</headtext>
                    </head>
                    <para>
                      <paratext>
                        A trader is liable for certain damage caused by digital content it has supplied, if it has not exercised reasonable care and skill (
                        <ital>section 46, CRA</ital>
                        ), see 
                        <link anchor="a395975" href="w-023-1455" style="ACTLinkPLCtoPLC">
                          <ital>Practice note, Consumer contracts: supplying digital content: Consumer remedies for damage caused by digital content even where it is provided for non-monetary consideration</ital>
                        </link>
                        .
                      </paratext>
                    </para>
                    <para>
                      <paratext>A trader may limit its liability for such damage, provided the limit passes the fairness test. What constitutes exercising reasonable care and skill and what can fairly be excluded will depend on the circumstances: for example, the content itself, the platform, related content, the target consumer market and known issues in any of those.</paratext>
                    </para>
                    <para>
                      <paratext>The exclusion in the provision above reflects examples of mitigation steps given by BIS but they should only be included if relevant to the particular circumstances of the digital content in question. It is best to ask the provider of the digital content what could go wrong in terms of damage to other content/devices, what the consumer could do to prevent that happening, and whether it would be fair to expect the consumer to take on those responsibilities. Note also:</paratext>
                    </para>
                    <list type="bulleted">
                      <list.item>
                        <para>
                          <paratext>
                            The rules applicable to providing updates (see 
                            <internal.reference refid="a607975">Drafting note, Updates to digital content</internal.reference>
                            ).
                          </paratext>
                        </para>
                      </list.item>
                      <list.item>
                        <para>
                          <paratext>The CRA Digital content guidance only indicates that failure to follow instructions may exempt the trader from liability where those instructions are "clear and easy to follow and require minimal technical knowledge on the consumer’s part".</paratext>
                        </para>
                      </list.item>
                      <list.item>
                        <para>
                          <paratext>
                            Minimum system requirements would need to be advised to the consumer pre-purchase (
                            <ital>schedule 2, paragraph (w), CCRs</ital>
                            ), see, for example in relation to online sales, 
                            <link anchor="a787027" href="w-021-9711" style="ACTLinkPLCtoPLC">
                              <ital>Practice note, Consumer contracts: online selling: Compatibility of digital content's (paragraph (w), Schedule 2)</ital>
                            </link>
                            . For presentation suggestions for other methods of sale, see the method-of-sale-specific practice notes linked to from 
                            <internal.reference refid="a294367">Drafting note, Checklist of information to be provided to consumers pre-contract</internal.reference>
                            .
                          </paratext>
                        </para>
                      </list.item>
                    </list>
                  </division>
                  <division id="a477775" level="2">
                    <head align="left" preservecase="true">
                      <headtext>What if I leave out the limitation of liability provision?</headtext>
                    </head>
                    <para>
                      <paratext>The exclusions of liability for delay caused by force majeure and business losses seek to exclude liability which might otherwise lie with the trader and would need consumer acceptance to be binding. However, their enforceability cannot be guaranteed and much may depend on whether, on the facts, the consumer would have had an adequate opportunity to become aware of them. If the trader does not wish to exclude these types of loss, the clause may be entirely omitted.</paratext>
                    </para>
                    <para>
                      <paratext>The exclusions of unexpected and avoidable losses (the first and third bullets) set out the default position which would apply if the contract were silent on liability. If the limitation of liability provision is being used these exclusions are necessary to avoid any suggestion that the trader is accepting liability for these types of loss, given the opening words "We're responsible for losses you suffer… unless..".</paratext>
                    </para>
                  </division>
                </division>
              </drafting.note>
            </subclause1>
            <subclause1 id="a199327">
              <para>
                <paratext>
                  <bold>Our liability to businesses</bold>
                  . If you're a business, then, except in respect of the losses described in 
                  <ital>Losses we never limit or exclude</ital>
                  :
                </paratext>
              </para>
              <list type="bulleted">
                <list.item>
                  <para>
                    <paratext>we shall not be liable to you, whether in contract, tort (including negligence), breach of statutory duty, or otherwise, for any loss of profit, or any indirect or consequential loss arising under or in connection with any contract between us; and</paratext>
                  </para>
                </list.item>
                <list.item>
                  <para>
                    <paratext>
                      our total liability to you for all other losses arising under or in connection with any contract between us, whether in contract, tort (including negligence), breach of statutory duty, or otherwise, shall be limited to [£[FIGURE]
                      <bold> OR </bold>
                      [the greater of £[FIGURE] and [NUMBER IN WORDS] per cent ([NUMBER IN FIGURES]%) of] the total sums paid by you for products under such contract].
                    </paratext>
                  </para>
                </list.item>
              </list>
            </subclause1>
            <subclause1 id="a289270">
              <para>
                <paratext>
                  <bold>Losses we never limit or exclude</bold>
                  . Nothing in these terms shall limit or exclude our liability for:
                </paratext>
              </para>
              <list type="bulleted">
                <list.item>
                  <para>
                    <paratext>death or personal injury caused by our negligence, or the negligence of our employees, agents or subcontractors (as applicable);</paratext>
                  </para>
                </list.item>
                <list.item>
                  <para>
                    <paratext>fraud or fraudulent misrepresentation;</paratext>
                  </para>
                </list.item>
                <list.item>
                  <para>
                    <paratext>breach of the terms implied by section 12 of the Sale of Goods Act 1979 or section 2 of the Supply of Goods and Services Act 1982; [or]</paratext>
                  </para>
                </list.item>
                <list.item>
                  <para>
                    <paratext>defective products under the Consumer Protection Act 1987[; or]</paratext>
                  </para>
                </list.item>
                <list.item>
                  <para>
                    <paratext>[any matter in respect of which it would be unlawful for us to exclude or restrict liability].</paratext>
                  </para>
                </list.item>
              </list>
            </subclause1>
            <subclause1 id="a932247">
              <para>
                <paratext>
                  <bold>No implied terms about goods</bold>
                  . Except to the extent expressly stated in 
                  <ital>Your rights if you are a business</ital>
                  , we exclude all terms implied by sections 13 to 15 of the Sale of Goods Act 1979 and sections 3 to 5 of the Supply of Goods and Services Act 1982.
                </paratext>
              </para>
              <drafting.note id="a828403" jurisdiction="">
                <head align="left" preservecase="true">
                  <headtext>Limitation of liability</headtext>
                </head>
                <division id="a000039" level="1">
                  <para>
                    <paratext>It is standard practice for businesses to attempt to restrict their potential liabilities when entering into contracts with business customers.</paratext>
                  </para>
                  <para>
                    <paratext>All purported restrictions of liability must comply with the applicable statutory and common law controls. If they do not they will be unenforceable and the trader will be liable for all the customer's losses, subject to the common law rules on mitigation and foreseeability.</paratext>
                  </para>
                  <division id="a342151" level="2">
                    <head align="left" preservecase="true">
                      <headtext>UCTA controls on limitation and exclusion clauses</headtext>
                    </head>
                    <para>
                      <paratext>A supply of goods or services agreement between two businesses is subject to the provisions of UCTA, and also relevant public policy rules and the common law rules on contact interpretation, which are often used to control the use of exclusion clauses. These are standard terms so that:</paratext>
                    </para>
                    <list type="bulleted">
                      <list.item>
                        <para>
                          <paratext>Any attempted restriction or exclusion of liability for death or personal injury resulting from a party's negligence is wholly ineffective (section 2(1), UCTA).</paratext>
                        </para>
                      </list.item>
                      <list.item>
                        <para>
                          <paratext>Liability for fraud or fraudulent misrepresentation may not be excluded or limited as a matter of public policy.</paratext>
                        </para>
                      </list.item>
                      <list.item>
                        <para>
                          <paratext>Any attempted restriction or exclusion of liability in respect of breaches of the implied term as to title contained in section 12 of the SGA is wholly ineffective (sections 6(1)(a), UCTA).</paratext>
                        </para>
                      </list.item>
                      <list.item>
                        <para>
                          <paratext>Liability for death, personal injury or loss of or damage to property caused by a defective product may not be excluded or limited (section 7, Consumer Protection Act 1987).</paratext>
                        </para>
                      </list.item>
                      <list.item>
                        <para>
                          <paratext>Any attempted restriction or exclusion of liability for other losses caused by negligence is valid only to the extent it satisfies the UCTA reasonableness test (section 2(2), UCTA).</paratext>
                        </para>
                      </list.item>
                      <list.item>
                        <para>
                          <paratext>Any attempted restriction or exclusion of liability for other losses caused by innocent or negligent misrepresentation is valid only to the extent it satisfies the UCTA reasonableness test (section 3, Misrepresentation Act 1967).</paratext>
                        </para>
                      </list.item>
                      <list.item>
                        <para>
                          <paratext>Any attempted restriction or exclusion of liability in respect of breaches of the terms implied by sections 13 to 15 of the SGA or section 3 to 5 of the SGSA (terms relating to conformance with description and sample, satisfactory quality and fitness for purpose) is valid only to the extent it satisfies the UCTA reasonableness test (section 6(3), UCTA).</paratext>
                        </para>
                      </list.item>
                      <list.item>
                        <para>
                          <paratext>Any attempted exclusion or limitation of liability for the trader's breach of contract will also be subject to the UCTA reasonableness test.</paratext>
                        </para>
                      </list.item>
                    </list>
                    <para>
                      <paratext>For more information, see:</paratext>
                    </para>
                    <list type="bulleted">
                      <list.item>
                        <para>
                          <paratext>
                            <link href="https://uk.practicallaw.thomsonreuters.com/5-386-8420?documentSection=co_anchor_a432939" style="ACTLinkURL">
                              <ital>Practice note, Drafting terms and conditions for the supply of goods: Limiting or excluding liability in standard terms</ital>
                            </link>
                            .
                          </paratext>
                        </para>
                      </list.item>
                      <list.item>
                        <para>
                          <paratext>
                            <link href="2-520-5359" style="ACTLinkPLCtoPLC">
                              <ital>Practice note, Limiting liability: drafting and negotiating</ital>
                            </link>
                            .
                          </paratext>
                        </para>
                      </list.item>
                      <list.item>
                        <para>
                          <paratext>
                            <link href="9-617-5230" style="ACTLinkPLCtoPLC">
                              <ital>Limiting liability: statutory and common law controls on limitation clauses</ital>
                            </link>
                            .
                          </paratext>
                        </para>
                      </list.item>
                    </list>
                  </division>
                  <division id="a976836" level="2">
                    <head align="left" preservecase="true">
                      <headtext>Exclusion of loss of profit and indirect and consequential loss</headtext>
                    </head>
                    <para>
                      <paratext>It is a common misconception that loss of profits is an indirect or consequential loss. In fact, loss of profits (and any other kind of financial loss) can be a direct or indirect loss. The proposed drafting aims to exclude both direct loss of profit and any indirect or consequential loss.</paratext>
                    </para>
                  </division>
                  <division id="a716752" level="2">
                    <head align="left" preservecase="true">
                      <headtext>Cap on liability</headtext>
                    </head>
                    <para>
                      <paratext>The drafting provides options for capping the trader's liability at any of:</paratext>
                    </para>
                    <list type="bulleted">
                      <list.item>
                        <para>
                          <paratext>A fixed amount. This may be most appropriate where this agreement is short term; the fixed amount could simply be calculated by reference to the total purchases of goods expected over the full term of this agreement.</paratext>
                        </para>
                      </list.item>
                      <list.item>
                        <para>
                          <paratext>The greater of a fixed amount and an amount calculated by reference to the price of the products purchased. This allows for the cap to increase in proportion to the sums paid, while ensuring there is an initial minimum liability in the early days of the contract.</paratext>
                        </para>
                      </list.item>
                      <list.item>
                        <para>
                          <paratext>The price of the products purchased. This sets the cap at the price paid, which may be appropriate for a one-off purchase.</paratext>
                        </para>
                      </list.item>
                    </list>
                    <para>
                      <paratext>Ultimately, the amount of the cap is a commercial decision for the parties. In setting the cap, the parties must have regard to the UCTA reasonableness test.</paratext>
                    </para>
                  </division>
                  <division id="a451013" level="2">
                    <head align="left" preservecase="true">
                      <headtext>Losses we never limit or exclude</headtext>
                    </head>
                    <para>
                      <paratext>
                        This provision lists the liabilities which the trader cannot limit or exclude at law and adds an optional sweep up reference to any other such liabilities. This list of non-excluded losses is conventionally included to avoid the risk that other limits (such as the cap) would otherwise be unreasonable and the whole clause found unenforceable. See the discussion at 
                        <link anchor="a1055557" href="2-520-5359" style="ACTLinkPLCtoPLC">
                          <ital>Practice note, Limiting liability: drafting and negotiating: Must you expressly accept liabilities you cannot limit?</ital>
                        </link>
                        .
                      </paratext>
                    </para>
                  </division>
                  <division id="a129955" level="2">
                    <head align="left" preservecase="true">
                      <headtext>No implied terms about goods</headtext>
                    </head>
                    <para>
                      <paratext>
                        The terms implied by SGA and the SGSA as to conformance with a description or sample, quality and fitness can be excluded or modified, subject to this being reasonable for UCTA purposes. This provision clarifies that the modified warranties in 
                        <ital>Your rights if you are a business</ital>
                         are all the trader is offering.
                      </paratext>
                    </para>
                  </division>
                </division>
              </drafting.note>
            </subclause1>
          </clause>
          <clause id="a182170" numbering="none">
            <head align="left" preservecase="true">
              <headtext>We use your personal data as set out in our Privacy Notice</headtext>
            </head>
            <subclause1 id="a681346">
              <para>
                <paratext>How we use any personal data you give us is set out in our Privacy Notice: [LINK TO PRIVACY NOTICE OR WEBSITE ADDRESS FOR PRIVACY NOTICE OR INFORMATION ABOUT WHERE TO ACCESS IT (FOR EXAMPLE, IN A BROCHURE)].</paratext>
              </para>
              <drafting.note id="a870193" jurisdiction="">
                <head align="left" preservecase="true">
                  <headtext>How we use your personal data as set out in our Privacy Notice</headtext>
                </head>
                <division id="a000040" level="1">
                  <para>
                    <paratext>When dealing with a consumer's personal data, traders must comply with data protection and privacy laws. In particular, the requirement for transparency means that traders must provide certain information to consumers about how their personal data is being processed.</paratext>
                  </para>
                  <para>
                    <paratext>
                      As explained in our 
                      <link anchor="a738562" href="w-022-5839" style="ACTLinkPLCtoPLC">
                        <ital>Practice note, Consumer contracts: common terms and conditions: Privacy policies</ital>
                      </link>
                      , best practice is to set out the transparency information in a stand-alone privacy notice which is prominently flagged to the consumer during their online browsing or purchase journey. These terms do not duplicate the privacy notice; to do so is unnecessary and would add to the updating burden should the privacy notice be amended. However, a link to the privacy notice or (for off-line contracts) instructions on where to find it, is provided.
                    </paratext>
                  </para>
                  <division id="a343192" level="2">
                    <head align="left" preservecase="true">
                      <headtext>What if I leave out the reference to the Privacy Notice?</headtext>
                    </head>
                    <para>
                      <paratext>This provision may be included if desired, for completeness but in practice a consumer looking for the relevant information should not have to find it in the terms and acceptance of the terms would not serve any data protection purpose.</paratext>
                    </para>
                  </division>
                </division>
              </drafting.note>
            </subclause1>
          </clause>
          <clause id="a281601" numbering="none">
            <head align="left" preservecase="true">
              <headtext>You have several options for resolving disputes with us</headtext>
            </head>
            <subclause1 id="a989509">
              <para>
                <paratext>
                  <bold>Our complaints policy</bold>
                  . Our Customer Service Team: [LINK TO OR WEBSITE ADDRESS FOR CUSTOMER SERVICE TEAM PAGE OR TELEPHONE NUMBER FOR TEAM] will do their best to resolve any problems you have with us or our products as per our Complaints policy: [LINK TO COMPLAINTS POLICY OR WEBSITE ADDRESS FOR IT OR INFORMATION ABOUT WHERE TO ACCESS IT (FOR EXAMPLE, IN A BROCHURE)].
                </paratext>
              </para>
              <drafting.note id="a395171" jurisdiction="">
                <head align="left" preservecase="true">
                  <headtext>Our complaints policy</headtext>
                </head>
                <division id="a000041" level="1">
                  <para>
                    <paratext>
                      There is no statutory obligation on traders to have a complaint handling policy but traders do have obligations to deal with complaints in a certain way (see 
                      <link anchor="a826154" href="w-022-5260" style="ACTLinkPLCtoPLC">
                        <ital>Practice note, Consumer contracts: after-sales support and complaint-handling obligations: Dealing with complaints</ital>
                      </link>
                      ).
                    </paratext>
                  </para>
                  <para>
                    <paratext>
                      In addition, traders must provide pre-contract information about any policies they do have, and this would seem to apply equally to formal and informal policies. For links to method-of-sale-specific practice notes with suggestions on how to provide this information, see 
                      <internal.reference refid="a294367">Drafting note, Checklist of information to be provided to consumers pre-contract</internal.reference>
                      .
                    </paratext>
                  </para>
                  <division id="a962083" level="2">
                    <head align="left" preservecase="true">
                      <headtext>What if I leave out the reference to the complaints policy?</headtext>
                    </head>
                    <para>
                      <paratext>As information about any complaints policy is required pre-contract under the CCRs, then once this information has been provided it will automatically become a term of the contract with the consumer and its inclusion in the terms is not necessary. However, the trader will be keen that all customers raise complaints in the way intended and so may want to mention the policy here to increase the chances of customers finding it.</paratext>
                    </para>
                  </division>
                </division>
              </drafting.note>
            </subclause1>
            <subclause1 id="a307878">
              <para>
                <paratext>
                  <bold>Resolving disputes without going to court[ (consumers only)]</bold>
                  . Alternative dispute resolution is an optional process where an independent body considers the facts of a dispute and seeks to resolve it, without you having to go to court. You can submit a complaint to [NAME OF ADR ENTITY] through their website at [WEBSITE ADDRESS]. [[NAME OF ADR ENTITY] does not charge you for making a complaint and] [[if 
                  <bold>OR</bold>
                   If] you're not satisfied with the outcome you can still go to court.
                </paratext>
              </para>
              <drafting.note id="a718737" jurisdiction="">
                <head align="left" preservecase="true">
                  <headtext>Resolving disputes without going to court</headtext>
                </head>
                <division id="a000042" level="1">
                  <para>
                    <paratext>
                      Under the Consumer ADR Regulations, a trader who is obliged by law or their trade association rules or the terms of a contract to use a scheme provided by a recognised ADR entity must include the name of the ADR provider and their website address in their terms (
                      <ital>regulation 19(1), Consumer ADR Regulations</ital>
                      ).
                    </paratext>
                  </para>
                  <para>
                    <paratext>
                      The above clause would need to be tailored to reflect the ADR process offered by the relevant entity, including for example whether the ADR body charges consumers. For a list of approved ADR providers, see the website of the 
                      <link href="https://www.tradingstandards.uk/commercial-services/adr-approved-bodies" style="ACTLinkURL">
                        <ital>Chartered Trading Standards Institute</ital>
                      </link>
                      .
                    </paratext>
                  </para>
                  <para>
                    <paratext>In addition, traders who are unable to resolve a consumer's complaint with them directly using their internal complaints procedure must inform the consumer on a durable medium that they cannot settle the complaint, give the name and website address of the relevant ADR provider and say whether they are obliged or prepared to make use of the relevant provider. This information is likely to be given by email at the conclusion of the complaints process.</paratext>
                  </para>
                  <para>
                    <paratext>
                      While the UK was a member of the EU, and during the transition period, the Consumer ADR Regulations also required traders to include in their online terms information about the existence of the EU Online Dispute Resolution (ODR) platform, and the possibility of using the ODR platform for resolving disputes. However, post-transition this requirement no longer applies. See 
                      <link anchor="a107457" href="4-618-1945" style="ACTLinkPLCtoPLC">
                        <ital>Practice note: overview, Consumer law: introduction to key legislation: Brexit SIs</ital>
                      </link>
                      .
                    </paratext>
                  </para>
                  <para>
                    <paratext>
                      For more on the information requirements under the Consumer ADR Regulations, see 
                      <link anchor="a964404" href="w-022-5839" style="ACTLinkPLCtoPLC">
                        <ital>Practice note, Consumer contracts: common terms and conditions: Alternative dispute resolution (ADR)</ital>
                      </link>
                      .
                    </paratext>
                  </para>
                  <division id="a171724" level="2">
                    <head align="left" preservecase="true">
                      <headtext>ADR for business customers</headtext>
                    </head>
                    <para>
                      <paratext>The wording restricting the application of this clause to consumers only should be included unless the ADR provider also deals with business to business disputes.</paratext>
                    </para>
                  </division>
                  <division id="a179458" level="2">
                    <head align="left" preservecase="true">
                      <headtext>What if I leave out the ADR provision?</headtext>
                    </head>
                    <para>
                      <paratext>A trader who is obliged by law or their trade association rules or the terms of a contract to use a scheme provided by a recognised ADR entity when dealing with consumers must include the name of the ADR provider and their website address in their terms. For other traders, there is no requirement to mention ADR providers in their terms, but if the trader is using ADR, it seems sensible to draw attention to this wherever possible.</paratext>
                    </para>
                  </division>
                </division>
              </drafting.note>
            </subclause1>
            <subclause1 id="a639888">
              <para>
                <paratext>
                  <bold>You can go to court. </bold>
                  These terms are governed by English law. If you are a consumer then, wherever you live, you can bring claims against us in the English courts and if you live in Wales, Scotland or Northern Ireland, you can also bring claims against us in the courts of the country you live in. If you are a consumer we can claim against you in the courts of the country you live in. If you are a business you irrevocably agree to submit all disputes arising out of or in connection with our contract with you to the exclusive jurisdiction of the English courts.
                </paratext>
              </para>
              <drafting.note id="a810677" jurisdiction="">
                <head align="left" preservecase="true">
                  <headtext>Governing law and jurisdiction</headtext>
                </head>
                <division id="a000043" level="1">
                  <para>
                    <paratext>
                      The CMA Unfair terms guidance states that consumers should not normally be prevented from starting legal proceedings in their local courts, for example, by a term requiring they use the courts of England and Wales despite the fact that the contract is being used in another part of the UK having its own laws and courts. It is not fair for the consumer to be forced to travel long distances and use unfamiliar procedures to defend or bring proceedings (
                      <ital>paragraph 5.29.7, CMA Unfair terms guidance</ital>
                      ).
                    </paratext>
                  </para>
                  <para>
                    <paratext>
                      As explained in 
                      <internal.reference refid="a144092">Drafting note, About this document</internal.reference>
                      , these terms provide for English law and jurisdiction. Despite this they could be used with consumers in the rest of the UK, because the key consumer protection statutes apply throughout the four UK nations. However, be aware there may be differences in other relevant statutes or in the common law.
                    </paratext>
                  </para>
                  <para>
                    <paratext>A business customer agreeing to the jurisdiction of the courts in England and Wales will find it difficult to argue that the English courts are not the appropriate forum for the trial of disputes.</paratext>
                  </para>
                  <division id="a713927" level="2">
                    <head align="left" preservecase="true">
                      <headtext>What if I leave out the governing law and jurisdiction provision?</headtext>
                    </head>
                    <division id="a746094" level="3">
                      <head align="left" preservecase="true">
                        <headtext>Impact on consumer contracts</headtext>
                      </head>
                      <para>
                        <paratext>If the contract contains no express choice of law, then, within the UK the consumer's local law applies.</paratext>
                      </para>
                      <para>
                        <paratext>If these terms are adapted for use with non-UK consumers, a choice of English law is likely to be effective throughout the EU, subject to any mandatory consumer protections under the consumer's local law (on which advice should be sought). Advice on local laws should also be sought in relation to non-EU jurisdictions.</paratext>
                      </para>
                      <para>
                        <paratext>A UK (or EU) domiciled consumer will be able to sue a trader either in the part of the UK (or EU) where the trader is domiciled or in the part of the UK (or EU) where the consumer is domiciled (provided the trader directs its activities to the part of the UK (or EU) in which the consumer is domiciled). Whether a consumer based in a non-EU jurisdiction can bring an action in their local courts against a UK trader will be determined by local laws. Where a judgment against a UK trader is obtained from non-UK courts, its enforcement in the UK needs to be considered.</paratext>
                      </para>
                      <para>
                        <paratext>
                          For more information on law and jurisdiction issues in a consumer context, see 
                          <link anchor="a974481" href="w-022-5839" style="ACTLinkPLCtoPLC">
                            <ital>Practice note, Consumer contracts: common terms and conditions: Governing law and jurisdiction</ital>
                          </link>
                          .
                        </paratext>
                      </para>
                    </division>
                    <division id="a825135" level="3">
                      <head align="left" preservecase="true">
                        <headtext>Impact on business to business contracts</headtext>
                      </head>
                      <para>
                        <paratext>
                          See the discussion at 
                          <link anchor="a783056" href="w-014-1583" style="ACTLinkPLCtoPLC">
                            <ital>Practice note, Boilerplate: do I really need this clause and why?: Jurisdiction</ital>
                          </link>
                          .
                        </paratext>
                      </para>
                    </division>
                  </division>
                </division>
              </drafting.note>
            </subclause1>
          </clause>
          <clause id="a702623" numbering="none">
            <head align="left" preservecase="true">
              <headtext>Other important terms apply to our contract</headtext>
            </head>
            <drafting.note id="a952185" jurisdiction="">
              <head align="left" preservecase="true">
                <headtext>Other important terms apply to our contract</headtext>
              </head>
              <division id="a000044" level="1">
                <para>
                  <paratext>Avoid using the word "boilerplate" to describe terms dealing with matters such as assignment or waiver, as this is unlikely to be understood by a consumer. It is probably also best to avoid the word "miscellaneous terms", which may suggest that such terms are not as significant or important as terms elsewhere, or "general" which may mean nothing to a consumer or suggest that these terms are not legally binding. We have used "other important terms".</paratext>
                </para>
              </division>
            </drafting.note>
            <subclause1 id="a173705">
              <para>
                <paratext>
                  <bold>We can transfer our contract with you, so that a different organisation is responsible for supplying your product</bold>
                  . [We'll tell you in writing if this happens and [if you are a consumer] we'll ensure that the transfer won't affect your rights under the contract 
                  <bold>OR</bold>
                   We'll contact you to let you know if we plan to do this. If you're [a consumer and you're] unhappy with the transfer you can contact our Customer Service Team: [LINK TO OR WEBSITE ADDRESS FOR CUSTOMER SERVICE TEAM PAGE OR TELEPHONE NUMBER FOR TEAM] to end the contract within [PERIOD] of us telling you about it and we will refund you any payments you've made in advance for products not provided].
                </paratext>
              </para>
              <drafting.note id="a122995" jurisdiction="">
                <head align="left" preservecase="true">
                  <headtext>We can transfer our contract with you</headtext>
                </head>
                <division id="a000045" level="1">
                  <para>
                    <paratext>
                      At common law, parties to a contract are free to assign their rights and sub-contract their obligations, unless the contract provides otherwise, see 
                      <link anchor="a730561" href="7-381-7509" style="ACTLinkPLCtoPLC">
                        <ital>Practice note, Contracts: assignment: What is an assignment?</ital>
                      </link>
                    </paratext>
                  </para>
                  <division id="a133660" level="2">
                    <head align="left" preservecase="true">
                      <headtext>Consumer issues</headtext>
                    </head>
                    <para>
                      <paratext>
                        A trader reserving the right to assign or transfer its rights or obligations where this may reduce the protection for a consumer is considered potentially unfair under the CRA (
                        <ital>paragraph 19, Schedule 2, CRA</ital>
                        ). According to the CMA Unfair terms guidance (
                        <ital>paragraph 5.28, CMA Unfair terms guidance</ital>
                        ) the consumer should be consulted and assignment (or transfer) permitted only if one of the following apply:
                      </paratext>
                    </para>
                    <list type="bulleted">
                      <list.item>
                        <para>
                          <paratext>The consumer consents.</paratext>
                        </para>
                      </list.item>
                      <list.item>
                        <para>
                          <paratext>The consumer has a penalty-free right to exit if assignment is not acceptable.</paratext>
                        </para>
                      </list.item>
                      <list.item>
                        <para>
                          <paratext>Assignment is only made in circumstances that ensure that a consumer's rights under the contract are not prejudiced.</paratext>
                        </para>
                      </list.item>
                    </list>
                    <para>
                      <paratext>This provision permits the trader to assign and provides drafting for the second and third CMA suggestions mentioned above.</paratext>
                    </para>
                    <para>
                      <paratext>If the third CMA suggestion is implemented (trader ensures consumers rights are not affected – see the first option in the square brackets) the trader will need to consider what steps it should put in place to prevent the consumer's rights being prejudiced. The types of prejudice which the CMA envisages are the consumer having to deal with someone who offers a poorer service or having to deal with two traders. One option might be for the trader to continue to deal with the consumer, effectively as a sub-contractor of the assignee.</paratext>
                    </para>
                  </division>
                  <division id="a988642" level="2">
                    <head align="left" preservecase="true">
                      <headtext>What if I leave out the trader's right to transfer a consumer contract?</headtext>
                    </head>
                    <para>
                      <paratext>
                        Given that reserving the right to transfer a contract (where this could cause consumer detriment) is flagged as potentially unfair in the CRA, it seems likely that even if a consumer contract were silent on the issue, transfer without having regard to possible consumer detriment could be an unfair commercial practice under CPUT, see 
                        <link anchor="a450946" href="2-381-1492" style="ACTLinkPLCtoPLC">
                          <ital>Practice note, Consumer Protection from Unfair Trading Regulations 2008: General prohibition</ital>
                        </link>
                        .
                      </paratext>
                    </para>
                    <para>
                      <paratext>Accordingly, this provision effectively describes the steps a trader would have to take at the time of transferring a contract to meet the requirements of consumer protection law (as interpreted by the CMA). In practice, if the provision were omitted a trader could simply take the appropriate steps at the relevant time. For example, it could notify the consumer of the transfer, give the consumer a penalty-free right of exit or take other steps to ensure the consumer was not prejudiced. On this basis, stating in the contract how a transfer would be dealt with would not seem to confer any benefit on the trader and could potentially limit the trader's options.</paratext>
                    </para>
                  </division>
                  <division id="a394945" level="2">
                    <head align="left" preservecase="true">
                      <headtext>Business to business issues</headtext>
                    </head>
                    <para>
                      <paratext>
                        If the trader does not want to fetter its common law rights to assign its rights and sub-contract its obligations under a business to business contract, then include the two square bracketed provisions which restrict the term's application to just consumers. We suggest that the obligation to notify transfer should apply to both business and consumer customers. For more on the inclusion of these controls, see 
                        <link anchor="a120126" href="w-014-1583" style="ACTLinkPLCtoPLC">
                          <ital>Practice note, Boilerplate: do I really need this clause and why?: Assignment and other dealings</ital>
                        </link>
                        .
                      </paratext>
                    </para>
                  </division>
                </division>
              </drafting.note>
            </subclause1>
            <subclause1 id="a787670">
              <para>
                <paratext>
                  <bold>You can only transfer your contract with us to someone else if we agree to this</bold>
                  . [If you're a consumer we OR We] may not agree if [REASONS]. However, you can transfer our consumer guarantee (as explained in 
                  <ital>Our goodwill guarantee</ital>
                  ) to a new owner of the product. We can require the new owner to prove you transferred the product to them, for example by [INSERT DETAILS]. [If you're a business you need our agreement to transfer your contract with us and it's entirely up to us whether we give it.]
                </paratext>
              </para>
              <drafting.note id="a395499" jurisdiction="">
                <head align="left" preservecase="true">
                  <headtext>You can only transfer your contract with us to someone else if we agree to this</headtext>
                </head>
                <division id="a000046" level="1">
                  <para>
                    <paratext>
                      At common law, parties to a contract are free to assign their rights and sub-contract their obligations, unless the contract provides otherwise, see 
                      <link anchor="a730561" href="7-381-7509" style="ACTLinkPLCtoPLC">
                        <ital>Practice note, Contracts: assignment: What is an assignment?</ital>
                      </link>
                    </paratext>
                  </para>
                  <division id="a221775" level="2">
                    <head align="left" preservecase="true">
                      <headtext>Consumer issues</headtext>
                    </head>
                    <division id="a279023" level="3">
                      <head align="left" preservecase="true">
                        <headtext>General prohibition on assignment without the trader's consent</headtext>
                      </head>
                      <para>
                        <paratext>
                          The CMA Unfair terms guidance states that terms which restrict a consumer's common law right to assign can be scrutinised for fairness (
                          <ital>paragraph 5.33, CMA Unfair terms guidance</ital>
                          ). We have included a prohibition on assignment by the consumer without the trader's consent but expressly provided for transfer of the guarantee. The chances of the prohibition on assignment being found fair are likely to be higher if valid reasons why consent might be withheld are spelt out. Generally, the CMA Unfair terms guidance disapproves of terms which merely commit the trader to acting reasonably (see for example, in the context of variations, paragraph 5.21.9, CMA Unfair terms guidance).
                        </paratext>
                      </para>
                    </division>
                    <division id="a615734" level="3">
                      <head align="left" preservecase="true">
                        <headtext>Right to assign the guarantee</headtext>
                      </head>
                      <para>
                        <paratext>The CMA Unfair terms guidance states that a consumer should have the right to transfer the benefit of a guarantee, because it adds substantial value to a contract (paragraph 5.33, CMA Unfair terms guidance).</paratext>
                      </para>
                      <para>
                        <paratext>It is permissible, however, for a trader to impose reasonable requirements on the transfer of the guarantee (to ensure it is not subject to baseless claims). The CMA Unfair terms guidance gives the example of requiring any transferee to show proper assignment, although the procedural requirements involved must be reasonable.</paratext>
                      </para>
                      <para>
                        <paratext>Annex A to the CMA Unfair terms guidance shows that the following term was accepted by the OFT (although, like all terms in Annex A, it is not cleared for general use):</paratext>
                      </para>
                      <display.quote>
                        <para>
                          <paratext>"EYG will not accept any liability under such guarantee unless the person seeking to rely on it is the original Purchaser or can produce a letter or chain of letters from the original Purchaser and subsequent Purchasers (where appropriate) transferring the benefit of the guarantee to the new owner of the property in question. EYG will be happy to supply a suggested specimen letter"</paratext>
                        </para>
                      </display.quote>
                    </division>
                  </division>
                  <division id="a530867" level="2">
                    <head align="left" preservecase="true">
                      <headtext>Business to business issues</headtext>
                    </head>
                    <para>
                      <paratext>
                        In a business to business context, a clearly drafted restriction on assignment will generally prevent a purported assignment from being effective as against the non-assigning party. However, such provisions are subject to some legal restrictions and there are also ways in which they can be circumvented, see 
                        <link anchor="a944411" href="7-381-7509" style="ACTLinkPLCtoPLC">
                          <ital>Practice note, Contracts: assignment: Non-assignment provisions</ital>
                        </link>
                        .
                      </paratext>
                    </para>
                  </division>
                  <division id="a304364" level="2">
                    <head align="left" preservecase="true">
                      <headtext>What if I leave out the controls on the customer transferring the contract?</headtext>
                    </head>
                    <para>
                      <paratext>Given that the common law permits a party to a contract to assign its rights and subcontract its obligations, to stop a customer having the right to transfer the contract a trader would have to include an appropriate provision.</paratext>
                    </para>
                  </division>
                </division>
              </drafting.note>
            </subclause1>
            <subclause1 id="a395405">
              <para>
                <paratext>
                  <bold>Nobody else has any rights under this contract</bold>
                  . This contract is between you and us. Nobody else can enforce it and neither of us will need to ask anybody else to sign-off on ending or changing it.
                </paratext>
              </para>
              <drafting.note id="a711106" jurisdiction="">
                <head align="left" preservecase="true">
                  <headtext>Nobody else has any rights under this contract</headtext>
                </head>
                <division id="a000047" level="1">
                  <para>
                    <paratext>
                      This provision is designed to knock out all third-party rights, whether arising under the 
                      <link href="9-505-5610" style="ACTLinkPLCtoPLC">
                        <ital>Contracts (Rights of Third Parties) Act 1999</ital>
                      </link>
                       or otherwise. We have not made express reference to the Act, as we doubt all consumers are familiar with it.
                    </paratext>
                  </para>
                  <division id="a505911" level="2">
                    <head align="left" preservecase="true">
                      <headtext>What if I leave out the exclusion of third party rights?</headtext>
                    </head>
                    <para>
                      <paratext>
                        Neither the consumer protection or business to business legislation considered in these terms expressly creates any third party rights and it is not obvious how any other terms in this contract would do so, although the courts have applied the law flexibly (see 
                        <link anchor="a93636" href="8-380-8057" style="ACTLinkPLCtoPLC">
                          <ital>Practice note, Contracts: privity and third party rights and obligations: Identifying the third party</ital>
                        </link>
                        ). If such rights did arise, there is a risk that seeking to exclude them when dealing with a consumer would be unfair and unenforceable. However, the term should be effective as against a business.
                      </paratext>
                    </para>
                  </division>
                </division>
              </drafting.note>
            </subclause1>
            <subclause1 id="a650795">
              <para>
                <paratext>
                  <bold>If a court invalidates some of this contract, the rest of it will still apply</bold>
                  . If a court or other authority decides that some of these terms are unlawful, the rest will continue to apply.
                </paratext>
              </para>
              <drafting.note id="a540300" jurisdiction="">
                <head align="left" preservecase="true">
                  <headtext>If a court invalidates some of this contract, the rest of it will still apply</headtext>
                </head>
                <division id="a000048" level="1">
                  <para>
                    <paratext>A severance provision addresses the risk that some provisions of the contract will be unenforceable; its goal is to ensure that this does not cause the contract as a whole to become unenforceable.</paratext>
                  </para>
                  <division id="a866927" level="2">
                    <head align="left" preservecase="true">
                      <headtext>What if I leave out the severance provision?</headtext>
                    </head>
                    <para>
                      <paratext>
                        In a consumer context, the greatest risk is that a term will be found unfair and so unenforceable under the CRA. However, in such a situation the CRA provides that the rest of the contract continues if it is able to do so, see 
                        <link anchor="a200685" href="w-022-6157" style="ACTLinkPLCtoPLC">
                          <ital>Practice note, Consumer contracts: unfair terms and transparency: Assessing whether the contract can continue without the unfair term</ital>
                        </link>
                        .
                      </paratext>
                    </para>
                    <para>
                      <paratext>
                        As against a business, it is not clear that this term would add much to the common law doctrine of severance, see 
                        <link anchor="a117161" href="w-014-1583" style="ACTLinkPLCtoPLC">
                          <ital>Practice note, Boilerplate: do I really need this clause and why?: Severance</ital>
                        </link>
                        .
                      </paratext>
                    </para>
                  </division>
                </division>
              </drafting.note>
            </subclause1>
            <subclause1 id="a922171">
              <para>
                <paratext>
                  <bold>Even if we delay in enforcing this contract, we can still enforce it later</bold>
                  . We might not immediately chase you for not doing something (like paying) or for doing something you're not allowed to, but that doesn’t mean we can't do it later.
                </paratext>
              </para>
              <drafting.note id="a965103" jurisdiction="">
                <head align="left" preservecase="true">
                  <headtext>Even if we delay in enforcing this contract, we can still enforce it later</headtext>
                </head>
                <division id="a000049" level="1">
                  <para>
                    <paratext>A party can lose a right or remedy by waiting too long to exercise it or by acting inconsistently with it, under the common law of waiver. Expressly reserving the right or remedy during the delay or while taking the inconsistent action can prevent waiver, at least for a while.</paratext>
                  </para>
                  <para>
                    <paratext>A "no waiver" clause tries to preserve all rights and remedies from being waived, especially by delay. However, the clause may not prevail over the later words and actions of the party seeking to rely on it.</paratext>
                  </para>
                  <para>
                    <paratext>As this clause is one-way (benefiting the trader only), it risks falling foul of the fairness test in the CRA if the common law would have prevented the trader taking action against the consumer on the grounds that the trader had waived the breach.</paratext>
                  </para>
                  <division id="a658492" level="2">
                    <head align="left" preservecase="true">
                      <headtext>What if I leave out the no waiver provision?</headtext>
                    </head>
                    <para>
                      <paratext>From a consumer perspective, given the doubt about its enforceability (and the risk that inclusion of an unfair term may breach CPUT) traders may prefer to omit this provision. However, traders may wish to include it in case it would assist them, for example in relation to failure to chase payment.</paratext>
                    </para>
                    <para>
                      <paratext>
                        In a business to business contract, this clause may give some protection but there is a risk that it may not prevail over the later words and actions of the party seeking to rely on it. See 
                        <link anchor="a100378" href="0-107-3806" style="ACTLinkPLCtoPLC">
                          <ital>Standard clause, Waiver: Drafting note: Effectiveness of no waiver clauses</ital>
                        </link>
                        .
                      </paratext>
                    </para>
                  </division>
                </division>
              </drafting.note>
            </subclause1>
          </clause>
        </operative>
      </body>
    </standard.doc>
  </n-docbody>
</n-document>
</file>

<file path=customXml/item4.xml><?xml version="1.0" encoding="utf-8"?>
<cdm:cachedDataManifest xmlns:cdm="http://schemas.microsoft.com/2004/VisualStudio/Tools/Applications/CachedDataManifest.xsd" cdm:revision="1"/>
</file>

<file path=customXml/itemProps1.xml><?xml version="1.0" encoding="utf-8"?>
<ds:datastoreItem xmlns:ds="http://schemas.openxmlformats.org/officeDocument/2006/customXml" ds:itemID="{6B1DC19D-DBD3-44A9-B077-B49E32A34FCE}">
  <ds:schemaRefs>
    <ds:schemaRef ds:uri="http://schemas.openxmlformats.org/wordprocessingml/2006/main"/>
    <ds:schemaRef ds:uri="http://schemas.openxmlformats.org/officeDocument/2006/relationships"/>
    <ds:schemaRef ds:uri="http://schemas.openxmlformats.org/officeDocument/2006/math"/>
    <ds:schemaRef ds:uri="http://schemas.openxmlformats.org/schemaLibrary/2006/main"/>
    <ds:schemaRef ds:uri="http://schemas.microsoft.com/office/word/2012/wordml"/>
    <ds:schemaRef ds:uri="http://schemas.microsoft.com/office/word/2010/wordml"/>
    <ds:schemaRef ds:uri="http://schemas.openxmlformats.org/markup-compatibility/2006"/>
    <ds:schemaRef ds:uri="http://schemas.openxmlformats.org/drawingml/2006/wordprocessingDrawing"/>
    <ds:schemaRef ds:uri="http://schemas.openxmlformats.org/drawingml/2006/main"/>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xml><?xml version="1.0" encoding="utf-8"?>
<ds:datastoreItem xmlns:ds="http://schemas.openxmlformats.org/officeDocument/2006/customXml" ds:itemID="{BD442842-C8DD-4A40-BF32-AB1FA25950AC}">
  <ds:schemaRefs>
    <ds:schemaRef ds:uri="http://schemas.microsoft.com/office/2006/customDocumentInformationPanel"/>
  </ds:schemaRefs>
</ds:datastoreItem>
</file>

<file path=customXml/itemProps3.xml><?xml version="1.0" encoding="utf-8"?>
<ds:datastoreItem xmlns:ds="http://schemas.openxmlformats.org/officeDocument/2006/customXml" ds:itemID="{9BA6EC3D-A8F5-4850-A1AD-BC4C798EE570}">
  <ds:schemaRefs>
    <ds:schemaRef ds:uri="http://www.w3.org/2001/XMLSchema"/>
  </ds:schemaRefs>
</ds:datastoreItem>
</file>

<file path=customXml/itemProps4.xml><?xml version="1.0" encoding="utf-8"?>
<ds:datastoreItem xmlns:ds="http://schemas.openxmlformats.org/officeDocument/2006/customXml" ds:itemID="{A2DC01D0-0D15-41DA-BEE5-B0F5E8C7F460}">
  <ds:schemaRefs>
    <ds:schemaRef ds:uri="http://schemas.microsoft.com/2004/VisualStudio/Tools/Applications/CachedDataManifest.xs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2440</Words>
  <Characters>13909</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Wyatt, Rachel N. (TR Product)</dc:creator>
  <cp:lastModifiedBy>Rachel Ioannou</cp:lastModifiedBy>
  <cp:revision>2</cp:revision>
  <cp:lastPrinted>2021-10-28T08:20:00Z</cp:lastPrinted>
  <dcterms:created xsi:type="dcterms:W3CDTF">2026-08-06T16:04:00Z</dcterms:created>
  <dcterms:modified xsi:type="dcterms:W3CDTF">2026-08-06T16:04:00Z</dcterms:modified>
</cp:coreProperties>
</file>